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6900"/>
        <w:tblGridChange w:id="0">
          <w:tblGrid>
            <w:gridCol w:w="244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901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providing nature for all</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Blais, Representative Montano  </w:t>
            </w:r>
            <w:r w:rsidDel="00000000" w:rsidR="00000000" w:rsidRPr="00000000">
              <w:rPr>
                <w:rtl w:val="0"/>
              </w:rPr>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S.597, Senator Feeney </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New file, no previous history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29 of MGL (State Finance) by adding a new section, Section EEEEEE. This section establishes the Nature for All Fund, which will be used for conserving and improving natural and working lands as defined in Section 1 of Chapter 21N (Climate Protection and Green Economy Act) of MGL. </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Office of Energy and Environmental Affairs (EEA) shall make funds available within the Nature for All Fund to create and improve parks, </w:t>
            </w:r>
            <w:r w:rsidDel="00000000" w:rsidR="00000000" w:rsidRPr="00000000">
              <w:rPr>
                <w:rFonts w:ascii="Times New Roman" w:cs="Times New Roman" w:eastAsia="Times New Roman" w:hAnsi="Times New Roman"/>
                <w:sz w:val="24"/>
                <w:szCs w:val="24"/>
                <w:rtl w:val="0"/>
              </w:rPr>
              <w:t xml:space="preserve">greenspaces, trails, and outdoor recreation access as well as for the conservation or restoration of land to protect drinking water and the quality of streams, rivers, lakes and coasts. Funds will also be used to advance statewide biodiversity goals, climate goals, natural and working lands goals, resiliency goals, and environmental justice goals. Additionally, this fund will be used for the conservation of land parcels and lands of indigenous cultural significance. Lastly, the Nature for All Fund will be used to finance the provision of ongoing stewardship, outdoor recreation access, and management of resources.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recipients of this fund include municipalities, regional municipal partnerships, regional planning bodies, watershed associations, land trusts, conservation organizations, state agencies, tribal authorities, and other non-profit organizations. </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for All Fund will be made up of monies received by the Commonwealth from the receipt of sales and use of goods and services classified under the 2022 revision of the North American Industry Classification Codes </w:t>
            </w:r>
            <w:r w:rsidDel="00000000" w:rsidR="00000000" w:rsidRPr="00000000">
              <w:rPr>
                <w:rFonts w:ascii="Times New Roman" w:cs="Times New Roman" w:eastAsia="Times New Roman" w:hAnsi="Times New Roman"/>
                <w:sz w:val="24"/>
                <w:szCs w:val="24"/>
                <w:rtl w:val="0"/>
              </w:rPr>
              <w:t xml:space="preserve">459110, 441210, and 713910 under chapter 64H of MGL (Taxation of Stock Transfers; Sporting goods sales tax). If any codes are changed, the successor codes will be used. No amount will include any portion of the taxes that constitute special receipts as defined in subsection b ½ of Section 10 of Chapter 152 of the Acts of 1997 (The Construction and Financing of Convention and Exhibition Centers in the Commonwealth).</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sales tax revenue amounts are transferred to the MBTA State and Local Contribution Fund (Section 35T of Chapter 10 of MGL) and to the School Modernization and Reconstruction Trust Fund (35BB of Chapter 10 of MGL), the Nature for All Fund will receive whatever amounts are left over. The fund can accept both public and private gifts, grants, and donations. </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fund will also be used by the EEA for expenditures relating to conservation and improvement of natural and working lands and can be used to pay or reimburse the General Fund for debt related to land protection projects.</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creates the Nature for All board which will consist of 15 members. The board will be tasked with approving expenditures from the Nature for All Fund. The Executive Office of Energy and Environmental Affairs cannot use this fund to replace or reduce its existing annual bond or program investment levels outlined in its five-year capital plan. Furthermore, the Nature for All board will establish regulations regarding how much of the fund can be used to supplement existing capital programs.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Annually, the Executive Office of Energy and Environmental Affairs will submit a report detailing the amount of Nature for All Fund expenditures directed toward areas that include environmental justice populations to the board, the Environmental Justice Council, the House and Senate Committees on Ways and Means, and the Joint Committee on Environment and Natural Resources. </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 two-thirds vote from both the House and Senate and a request from the governor, the state treasurer may issue bonds that are secured solely by the Nature for All Fund and are considered special obligations. The state treasurer, with approval from the Secretary of Administration and Finance and the Secretary of Energy and Environmental Affairs, may set the terms, secure the bonds with trust agreements or credit enhancements, and establish protections for bondholders. These bonds are legally recognized investment securities and are exempt from all state taxes, including taxes on income or sale profits. These provisions also apply to the issuance of notes, where appropriate. </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increase the marketability of these bonds or notes, the bill details that any funds pledged to the Nature for All Fund will not be diverted elsewhere. Additionally, pledged funds will not be used for any other purpose until there is enough appropriated to cover all required debt payments and financial protections. Lastly, sales tax rates (Chapter 64H of MGL) will not be reduced if needed to support any bonds or notes, as determined by the state treasurer. </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