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8"/>
          <w:szCs w:val="28"/>
        </w:rPr>
      </w:pPr>
      <w:r w:rsidDel="00000000" w:rsidR="00000000" w:rsidRPr="00000000">
        <w:rPr>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b w:val="1"/>
        </w:rPr>
      </w:pPr>
      <w:r w:rsidDel="00000000" w:rsidR="00000000" w:rsidRPr="00000000">
        <w:rPr>
          <w:b w:val="1"/>
          <w:sz w:val="28"/>
          <w:szCs w:val="28"/>
          <w:rtl w:val="0"/>
        </w:rPr>
        <w:t xml:space="preserve">Bill Summary</w:t>
        <w:br w:type="textWrapping"/>
      </w:r>
      <w:r w:rsidDel="00000000" w:rsidR="00000000" w:rsidRPr="00000000">
        <w:rPr>
          <w:rtl w:val="0"/>
        </w:rPr>
        <w:t xml:space="preserve"> </w:t>
      </w:r>
      <w:r w:rsidDel="00000000" w:rsidR="00000000" w:rsidRPr="00000000">
        <w:rPr>
          <w:b w:val="1"/>
          <w:rtl w:val="0"/>
        </w:rPr>
        <w:t xml:space="preserve">__________________________________________________________________</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3.8823529411766"/>
        <w:gridCol w:w="6896.117647058823"/>
        <w:tblGridChange w:id="0">
          <w:tblGrid>
            <w:gridCol w:w="2463.8823529411766"/>
            <w:gridCol w:w="6896.117647058823"/>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b w:val="1"/>
                <w:u w:val="single"/>
              </w:rPr>
            </w:pPr>
            <w:r w:rsidDel="00000000" w:rsidR="00000000" w:rsidRPr="00000000">
              <w:rPr>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pPr>
            <w:r w:rsidDel="00000000" w:rsidR="00000000" w:rsidRPr="00000000">
              <w:rPr>
                <w:rtl w:val="0"/>
              </w:rPr>
              <w:t xml:space="preserve">House, No. 903</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b w:val="1"/>
                <w:u w:val="single"/>
              </w:rPr>
            </w:pPr>
            <w:r w:rsidDel="00000000" w:rsidR="00000000" w:rsidRPr="00000000">
              <w:rPr>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pPr>
            <w:r w:rsidDel="00000000" w:rsidR="00000000" w:rsidRPr="00000000">
              <w:rPr>
                <w:rtl w:val="0"/>
              </w:rPr>
              <w:t xml:space="preserve">An Act authorizing the establishment of old growth forest reserves</w:t>
            </w:r>
          </w:p>
        </w:tc>
      </w:tr>
      <w:tr>
        <w:trPr>
          <w:cantSplit w:val="0"/>
          <w:trHeight w:val="78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b w:val="1"/>
                <w:u w:val="single"/>
              </w:rPr>
            </w:pPr>
            <w:r w:rsidDel="00000000" w:rsidR="00000000" w:rsidRPr="00000000">
              <w:rPr>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pPr>
            <w:r w:rsidDel="00000000" w:rsidR="00000000" w:rsidRPr="00000000">
              <w:rPr>
                <w:rtl w:val="0"/>
              </w:rPr>
              <w:t xml:space="preserve">Representatives Blais of Deerfield, Representative Domb of Amherst</w:t>
            </w:r>
          </w:p>
        </w:tc>
      </w:tr>
      <w:tr>
        <w:trPr>
          <w:cantSplit w:val="0"/>
          <w:trHeight w:val="363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b w:val="1"/>
                <w:u w:val="single"/>
              </w:rPr>
            </w:pPr>
            <w:r w:rsidDel="00000000" w:rsidR="00000000" w:rsidRPr="00000000">
              <w:rPr>
                <w:b w:val="1"/>
                <w:u w:val="single"/>
                <w:rtl w:val="0"/>
              </w:rPr>
              <w:t xml:space="preserve">PRIOR HISTORY</w:t>
            </w:r>
          </w:p>
          <w:p w:rsidR="00000000" w:rsidDel="00000000" w:rsidP="00000000" w:rsidRDefault="00000000" w:rsidRPr="00000000" w14:paraId="0000000A">
            <w:pPr>
              <w:spacing w:after="240" w:before="240" w:lineRule="auto"/>
              <w:rPr/>
            </w:pPr>
            <w:r w:rsidDel="00000000" w:rsidR="00000000" w:rsidRPr="00000000">
              <w:rPr>
                <w:rtl w:val="0"/>
              </w:rPr>
              <w:t xml:space="preserve">2015-2016: Filed as H707; Reported Favorably by ENRA</w:t>
            </w:r>
          </w:p>
          <w:p w:rsidR="00000000" w:rsidDel="00000000" w:rsidP="00000000" w:rsidRDefault="00000000" w:rsidRPr="00000000" w14:paraId="0000000B">
            <w:pPr>
              <w:spacing w:after="240" w:before="240" w:lineRule="auto"/>
              <w:rPr/>
            </w:pPr>
            <w:r w:rsidDel="00000000" w:rsidR="00000000" w:rsidRPr="00000000">
              <w:rPr>
                <w:rtl w:val="0"/>
              </w:rPr>
              <w:t xml:space="preserve">2017-2018: Filed as H443; Reported Favorably by ENRA</w:t>
            </w:r>
          </w:p>
          <w:p w:rsidR="00000000" w:rsidDel="00000000" w:rsidP="00000000" w:rsidRDefault="00000000" w:rsidRPr="00000000" w14:paraId="0000000C">
            <w:pPr>
              <w:spacing w:after="240" w:before="240" w:lineRule="auto"/>
              <w:rPr/>
            </w:pPr>
            <w:r w:rsidDel="00000000" w:rsidR="00000000" w:rsidRPr="00000000">
              <w:rPr>
                <w:rtl w:val="0"/>
              </w:rPr>
              <w:t xml:space="preserve">2019-2020: Filed as H736/S485; S485 reported favorably by ENRA; Referred to SWM where no further action was taken</w:t>
            </w:r>
          </w:p>
          <w:p w:rsidR="00000000" w:rsidDel="00000000" w:rsidP="00000000" w:rsidRDefault="00000000" w:rsidRPr="00000000" w14:paraId="0000000D">
            <w:pPr>
              <w:spacing w:after="240" w:before="240" w:lineRule="auto"/>
              <w:rPr/>
            </w:pPr>
            <w:r w:rsidDel="00000000" w:rsidR="00000000" w:rsidRPr="00000000">
              <w:rPr>
                <w:rtl w:val="0"/>
              </w:rPr>
              <w:t xml:space="preserve">2021-2022: Filed as H856; favorably redrafted as H4784 by ENRA; referred to HWM where no further action was taken</w:t>
            </w:r>
          </w:p>
          <w:p w:rsidR="00000000" w:rsidDel="00000000" w:rsidP="00000000" w:rsidRDefault="00000000" w:rsidRPr="00000000" w14:paraId="0000000E">
            <w:pPr>
              <w:spacing w:after="240" w:before="240" w:lineRule="auto"/>
              <w:rPr/>
            </w:pPr>
            <w:r w:rsidDel="00000000" w:rsidR="00000000" w:rsidRPr="00000000">
              <w:rPr>
                <w:rtl w:val="0"/>
              </w:rPr>
              <w:t xml:space="preserve">2023-2024: Filed as H752; accompanied H4794 as a study order by ENR; favorably reported by the committee and sent to Joint Rules; discharged to House Rules where no further action was taken</w:t>
            </w:r>
          </w:p>
        </w:tc>
      </w:tr>
      <w:tr>
        <w:trPr>
          <w:cantSplit w:val="0"/>
          <w:trHeight w:val="975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b w:val="1"/>
                <w:u w:val="single"/>
              </w:rPr>
            </w:pPr>
            <w:r w:rsidDel="00000000" w:rsidR="00000000" w:rsidRPr="00000000">
              <w:rPr>
                <w:b w:val="1"/>
                <w:u w:val="single"/>
                <w:rtl w:val="0"/>
              </w:rPr>
              <w:t xml:space="preserve">SUMMARY</w:t>
            </w:r>
          </w:p>
          <w:p w:rsidR="00000000" w:rsidDel="00000000" w:rsidP="00000000" w:rsidRDefault="00000000" w:rsidRPr="00000000" w14:paraId="00000011">
            <w:pPr>
              <w:spacing w:after="240" w:before="240" w:lineRule="auto"/>
              <w:rPr/>
            </w:pPr>
            <w:r w:rsidDel="00000000" w:rsidR="00000000" w:rsidRPr="00000000">
              <w:rPr>
                <w:rtl w:val="0"/>
              </w:rPr>
              <w:t xml:space="preserve">Under this bill, an old growth forest is defined as an area of contiguous forest on state-owned land that a) shows no evidence of significant human disturbance that originated on the site b) has a significant component of older trees that are greater than 50% of the maximum longevity for the particular species c) is at least 5 acres in size and d) has either the capacity for self-perpetuation or the characteristics of a forest which are indicative of an old growth forest and which otherwise meets the criteria established by regulations of the Secretary of Energy and Environmental Affairs. </w:t>
            </w:r>
          </w:p>
          <w:p w:rsidR="00000000" w:rsidDel="00000000" w:rsidP="00000000" w:rsidRDefault="00000000" w:rsidRPr="00000000" w14:paraId="00000012">
            <w:pPr>
              <w:spacing w:after="240" w:before="240" w:lineRule="auto"/>
              <w:rPr/>
            </w:pPr>
            <w:r w:rsidDel="00000000" w:rsidR="00000000" w:rsidRPr="00000000">
              <w:rPr>
                <w:rtl w:val="0"/>
              </w:rPr>
              <w:t xml:space="preserve">To establish old growth forest reserves, the Secretary of EEA must conduct an inventory of the forests on state-owned land to determine the extent and condition of old growth forest stands. The secretary will then direct DCR and DFG to conduct additional assessments and inventories as deemed necessary. </w:t>
            </w:r>
          </w:p>
          <w:p w:rsidR="00000000" w:rsidDel="00000000" w:rsidP="00000000" w:rsidRDefault="00000000" w:rsidRPr="00000000" w14:paraId="00000013">
            <w:pPr>
              <w:spacing w:after="240" w:before="240" w:lineRule="auto"/>
              <w:rPr/>
            </w:pPr>
            <w:r w:rsidDel="00000000" w:rsidR="00000000" w:rsidRPr="00000000">
              <w:rPr>
                <w:rtl w:val="0"/>
              </w:rPr>
              <w:t xml:space="preserve">When approving, rejecting or modifying a designation, the secretary will consider: a) if the area is consistent with the definitions of old growth forest and buffer area b) if the designation is consistent with the ecological, historical, educational, cultural, economic, water supply, recreational and other public values of the area and c) the role of the proposed area within a statewide old growth forest reserve system.</w:t>
            </w:r>
          </w:p>
          <w:p w:rsidR="00000000" w:rsidDel="00000000" w:rsidP="00000000" w:rsidRDefault="00000000" w:rsidRPr="00000000" w14:paraId="00000014">
            <w:pPr>
              <w:spacing w:after="240" w:before="240" w:lineRule="auto"/>
              <w:rPr/>
            </w:pPr>
            <w:r w:rsidDel="00000000" w:rsidR="00000000" w:rsidRPr="00000000">
              <w:rPr>
                <w:rtl w:val="0"/>
              </w:rPr>
              <w:t xml:space="preserve">Prior to designating an area as an old growth forest reserve, a public hearing must be held within 180 days of the presentation to the secretary within the region where the proposed area is located and the secretary must consult with elected officials of each town where the proposed old growth reserve is located.</w:t>
            </w:r>
          </w:p>
          <w:p w:rsidR="00000000" w:rsidDel="00000000" w:rsidP="00000000" w:rsidRDefault="00000000" w:rsidRPr="00000000" w14:paraId="00000015">
            <w:pPr>
              <w:spacing w:after="240" w:before="240" w:lineRule="auto"/>
              <w:rPr/>
            </w:pPr>
            <w:r w:rsidDel="00000000" w:rsidR="00000000" w:rsidRPr="00000000">
              <w:rPr>
                <w:rtl w:val="0"/>
              </w:rPr>
              <w:t xml:space="preserve">The secretary with the recommending party and administering agency will establish plans for management and protection of old growth forest reserves, including whether hunting and fishing are allowed. Within all old growth forest reserves, certain activity is  </w:t>
            </w:r>
          </w:p>
          <w:p w:rsidR="00000000" w:rsidDel="00000000" w:rsidP="00000000" w:rsidRDefault="00000000" w:rsidRPr="00000000" w14:paraId="00000016">
            <w:pPr>
              <w:spacing w:after="240" w:before="240" w:lineRule="auto"/>
              <w:rPr/>
            </w:pPr>
            <w:r w:rsidDel="00000000" w:rsidR="00000000" w:rsidRPr="00000000">
              <w:rPr>
                <w:rtl w:val="0"/>
              </w:rPr>
              <w:t xml:space="preserve">prohibited as established under this act. The secretary will adopt regulations for the establishment and management of old growth forest reserves. </w:t>
            </w:r>
          </w:p>
          <w:p w:rsidR="00000000" w:rsidDel="00000000" w:rsidP="00000000" w:rsidRDefault="00000000" w:rsidRPr="00000000" w14:paraId="00000017">
            <w:pPr>
              <w:spacing w:after="240" w:before="240" w:lineRule="auto"/>
              <w:rPr/>
            </w:pPr>
            <w:r w:rsidDel="00000000" w:rsidR="00000000" w:rsidRPr="00000000">
              <w:rPr>
                <w:rtl w:val="0"/>
              </w:rPr>
              <w:t xml:space="preserve">Anyone who violates this act will be punished by a fine of not more than $5,000 or by imprisonment for not more than 1 year or both. Each day a violation occurs will be considered a separate violation. </w:t>
            </w:r>
          </w:p>
          <w:p w:rsidR="00000000" w:rsidDel="00000000" w:rsidP="00000000" w:rsidRDefault="00000000" w:rsidRPr="00000000" w14:paraId="00000018">
            <w:pPr>
              <w:spacing w:after="240" w:before="240" w:lineRule="auto"/>
              <w:rPr/>
            </w:pPr>
            <w:r w:rsidDel="00000000" w:rsidR="00000000" w:rsidRPr="00000000">
              <w:rPr>
                <w:rtl w:val="0"/>
              </w:rPr>
              <w:t xml:space="preserve">The secretary will establish a research and education program to monitor the status of forests within old growth forest reserves and promote the understanding of such reserves. The secretary will also file a report with the ENRA Committee within 1 year of the effective date of this act.</w:t>
            </w:r>
          </w:p>
        </w:tc>
      </w:tr>
    </w:tbl>
    <w:p w:rsidR="00000000" w:rsidDel="00000000" w:rsidP="00000000" w:rsidRDefault="00000000" w:rsidRPr="00000000" w14:paraId="0000001A">
      <w:pPr>
        <w:spacing w:after="240" w:before="240" w:lineRule="auto"/>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