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House, No. 905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 Act expanding pleasure boat access to Boston Harbor</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r w:rsidDel="00000000" w:rsidR="00000000" w:rsidRPr="00000000">
              <w:rPr>
                <w:rFonts w:ascii="Times New Roman" w:cs="Times New Roman" w:eastAsia="Times New Roman" w:hAnsi="Times New Roman"/>
                <w:rtl w:val="0"/>
              </w:rPr>
              <w:t xml:space="preserve">                    Representative Chan of Quincy</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2013-2014: Filed as H676; sent to study by </w:t>
            </w:r>
            <w:r w:rsidDel="00000000" w:rsidR="00000000" w:rsidRPr="00000000">
              <w:rPr>
                <w:rFonts w:ascii="Times New Roman" w:cs="Times New Roman" w:eastAsia="Times New Roman" w:hAnsi="Times New Roman"/>
                <w:rtl w:val="0"/>
              </w:rPr>
              <w:t xml:space="preserve">ENRA</w:t>
            </w:r>
            <w:r w:rsidDel="00000000" w:rsidR="00000000" w:rsidRPr="00000000">
              <w:rPr>
                <w:rtl w:val="0"/>
              </w:rPr>
            </w:r>
          </w:p>
          <w:p w:rsidR="00000000" w:rsidDel="00000000" w:rsidP="00000000" w:rsidRDefault="00000000" w:rsidRPr="00000000" w14:paraId="000000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2015-2016: Filed as H638; sent to study by ENRA</w:t>
            </w:r>
          </w:p>
          <w:p w:rsidR="00000000" w:rsidDel="00000000" w:rsidP="00000000" w:rsidRDefault="00000000" w:rsidRPr="00000000" w14:paraId="000000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2017-2018: Filed as H410; referred to ENRA where no further action was taken</w:t>
            </w:r>
          </w:p>
          <w:p w:rsidR="00000000" w:rsidDel="00000000" w:rsidP="00000000" w:rsidRDefault="00000000" w:rsidRPr="00000000" w14:paraId="000000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2019-2020: Filed as H741; sent to study by ENRA</w:t>
            </w:r>
          </w:p>
          <w:p w:rsidR="00000000" w:rsidDel="00000000" w:rsidP="00000000" w:rsidRDefault="00000000" w:rsidRPr="00000000" w14:paraId="000000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 Filed as H.865; sent to study by ENRA</w:t>
            </w:r>
          </w:p>
          <w:p w:rsidR="00000000" w:rsidDel="00000000" w:rsidP="00000000" w:rsidRDefault="00000000" w:rsidRPr="00000000" w14:paraId="00000012">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rtl w:val="0"/>
              </w:rPr>
              <w:t xml:space="preserve">2023-2024: Filed as H.761; sent to study by ENR</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4">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 this legislation, state and municipal agencies, owning or controlling property within the City of Boston must identify and establish mooring and docking facilities for pleasure boats. The legislation directs these agencies to issue Requests for Proposals for capital facilities, operations and maintenance, emphasizing the establishment of new mooring/docking facilities for short term and seasonal public use.  </w:t>
            </w:r>
          </w:p>
          <w:p w:rsidR="00000000" w:rsidDel="00000000" w:rsidP="00000000" w:rsidRDefault="00000000" w:rsidRPr="00000000" w14:paraId="000000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agencies can lease, purchase and/or enter into agreements to improve navigational access to Boston Harbor for pleasure boating, establish boat landings, moorings and docking facilities for public use.  The legislation allows agencies to charge reasonable fees for landings, moorings and docking facilities.</w:t>
              <w:tab/>
            </w:r>
          </w:p>
          <w:p w:rsidR="00000000" w:rsidDel="00000000" w:rsidP="00000000" w:rsidRDefault="00000000" w:rsidRPr="00000000" w14:paraId="000000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the City of Boston may expend funds from any account created under Section 5G of Chapter 40 of the General Laws to accomplish this legislation. [Section 5G of Chapter 40 allows cities and towns to create municipal waterways improvement and maintenance funds to be expended for maintenance, dredging, cleaning, accessing and improving harbors, inland water and great ponds; and for  breakwaters, retaining walls, piers, wharves and moorings; and law enforcement and fire prevention.]</w:t>
            </w:r>
          </w:p>
        </w:tc>
      </w:tr>
    </w:tbl>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