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907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relative to DCR yacht club fees reflecting waterway access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Chan </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2020-2021: Filed as H742; sent to study by ENRA</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H867; sent to study by ENRA</w:t>
            </w:r>
            <w:r w:rsidDel="00000000" w:rsidR="00000000" w:rsidRPr="00000000">
              <w:rPr>
                <w:rtl w:val="0"/>
              </w:rPr>
            </w:r>
          </w:p>
          <w:p w:rsidR="00000000" w:rsidDel="00000000" w:rsidP="00000000" w:rsidRDefault="00000000" w:rsidRPr="00000000" w14:paraId="0000000F">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2023-2024: Filed as H.763; sent to study by ENR</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65 of the Acts of 2010 authorizes the Division of Capital Asset Management and Maintenance (DCAMM) to enter into leases with certain listed organizations that operate yacht clubs or other boating facilities on Department of Conservation and Recreation (DCR) park land. The law provides the statutory framework (i.e., certain terms and conditions) for DCAMM to enter into leases with these organizational </w:t>
            </w:r>
            <w:r w:rsidDel="00000000" w:rsidR="00000000" w:rsidRPr="00000000">
              <w:rPr>
                <w:rFonts w:ascii="Times New Roman" w:cs="Times New Roman" w:eastAsia="Times New Roman" w:hAnsi="Times New Roman"/>
                <w:sz w:val="24"/>
                <w:szCs w:val="24"/>
                <w:rtl w:val="0"/>
              </w:rPr>
              <w:t xml:space="preserve">leasees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law requires that before entering into a lease, the DCAMM Commissioner, (in consultation with the DCR Commissioner), must perform a survey to determine the exact boundaries of each parcel. This bill proposes the survey include navigable channels, and berthing/mooring areas on the “water sheet”; and, establish a maintenance schedule of the navigable waters from such boating </w:t>
            </w:r>
            <w:r w:rsidDel="00000000" w:rsidR="00000000" w:rsidRPr="00000000">
              <w:rPr>
                <w:rFonts w:ascii="Times New Roman" w:cs="Times New Roman" w:eastAsia="Times New Roman" w:hAnsi="Times New Roman"/>
                <w:sz w:val="24"/>
                <w:szCs w:val="24"/>
                <w:rtl w:val="0"/>
              </w:rPr>
              <w:t xml:space="preserve">facility</w:t>
            </w:r>
            <w:r w:rsidDel="00000000" w:rsidR="00000000" w:rsidRPr="00000000">
              <w:rPr>
                <w:rFonts w:ascii="Times New Roman" w:cs="Times New Roman" w:eastAsia="Times New Roman" w:hAnsi="Times New Roman"/>
                <w:sz w:val="24"/>
                <w:szCs w:val="24"/>
                <w:rtl w:val="0"/>
              </w:rPr>
              <w:t xml:space="preserve"> (See: Bill Section 1).</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law also establishes certain terms and conditions related to the compensation (rental payments) of such leases. This bill amends the law to require that the DCAMM Commissioner and the DCR Commissioner will manage, operate, improve, repair, and maintain underwater land during the lease term for (i) recreational boating waterside access, and (ii) protecting navigable waterways and channels (See: Bill Section 2).</w:t>
            </w:r>
            <w:r w:rsidDel="00000000" w:rsidR="00000000" w:rsidRPr="00000000">
              <w:rPr>
                <w:rtl w:val="0"/>
              </w:rPr>
            </w:r>
          </w:p>
        </w:tc>
      </w:tr>
    </w:tbl>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