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915</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expanding access to trails for people of all abilities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Ciccolo</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S.548, Senator Comerford (Senate counterpart)</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H.769; Reported favorably by ENR with S.446 (senate counterpart) to SWM</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0">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spacing w:after="0" w:before="0" w:lineRule="auto"/>
              <w:rPr>
                <w:rFonts w:ascii="Times New Roman" w:cs="Times New Roman" w:eastAsia="Times New Roman" w:hAnsi="Times New Roman"/>
                <w:b w:val="1"/>
                <w:sz w:val="16"/>
                <w:szCs w:val="16"/>
                <w:u w:val="single"/>
              </w:rPr>
            </w:pPr>
            <w:r w:rsidDel="00000000" w:rsidR="00000000" w:rsidRPr="00000000">
              <w:rPr>
                <w:rtl w:val="0"/>
              </w:rPr>
            </w:r>
          </w:p>
          <w:p w:rsidR="00000000" w:rsidDel="00000000" w:rsidP="00000000" w:rsidRDefault="00000000" w:rsidRPr="00000000" w14:paraId="0000001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21 (The Department of Conservation and Recreation) of MGL by inserting a new section 2H. This new section states that it is the policy of the Commonwealth and of the Department of Conservation and Recreation (DCR) and the Department of Fish and Game (DFG) to maximize access to trails, outdoor spaces, and outdoor recreational activities for people of all abilities, and to advance equity for all residents.</w:t>
            </w:r>
          </w:p>
          <w:p w:rsidR="00000000" w:rsidDel="00000000" w:rsidP="00000000" w:rsidRDefault="00000000" w:rsidRPr="00000000" w14:paraId="00000013">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Secretary of Energy and Environmental Affairs (EEA) will establish the Trail Access Working Group, and will serve as its Chair or will appoint a designee. The specific requirements of working group members is outlined within the bill text. </w:t>
            </w:r>
          </w:p>
          <w:p w:rsidR="00000000" w:rsidDel="00000000" w:rsidP="00000000" w:rsidRDefault="00000000" w:rsidRPr="00000000" w14:paraId="00000015">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Trail Access Working Group will review best practices regarding accessibility standards for outdoor developed areas and will file an annual report summarizing the findings of its reviews and will make recommendations. This report will be sent to the Governor, the Executive Office of Energy and Environmental Affairs, and to the Joint Committee on Environment and Natural Resources. The Secretary of the EEA will also create the Trail Access Advisory Council, which will serve as a public resource for trail accessibility. The specific requirements of council members is outlined within the bill text. </w:t>
            </w:r>
          </w:p>
          <w:p w:rsidR="00000000" w:rsidDel="00000000" w:rsidP="00000000" w:rsidRDefault="00000000" w:rsidRPr="00000000" w14:paraId="00000017">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council will submit an annual report of its findings, conclusions, proposals, recommendations and progress towards reaching the recommendations described in the Trail Access Working Group’s final report. Similar to the working group, the council’s report will be sent to the Governor, the Executive Office of Energy and Environmental Affairs, and to the Joint Committee on Environment and Natural Resources. </w:t>
            </w:r>
          </w:p>
          <w:p w:rsidR="00000000" w:rsidDel="00000000" w:rsidP="00000000" w:rsidRDefault="00000000" w:rsidRPr="00000000" w14:paraId="00000019">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this bill establishes the Massachusetts Trail Access Fund. This fund will be administered by the Secretary of the EEA. Revenues within this fund will be from both public and private sources such as appropriations, gifts, grants, donations, reimbursements from the federal government and grants-in-aid or other receipts.</w:t>
            </w:r>
          </w:p>
          <w:p w:rsidR="00000000" w:rsidDel="00000000" w:rsidP="00000000" w:rsidRDefault="00000000" w:rsidRPr="00000000" w14:paraId="0000001B">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of the Trail Access Advisory Council will be appointed three months after this bill’s passage. Any reports and recommendations of the Council will be filed no later than one year after its first meeting. </w:t>
            </w:r>
          </w:p>
          <w:p w:rsidR="00000000" w:rsidDel="00000000" w:rsidP="00000000" w:rsidRDefault="00000000" w:rsidRPr="00000000" w14:paraId="0000001D">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bl>
    <w:p w:rsidR="00000000" w:rsidDel="00000000" w:rsidP="00000000" w:rsidRDefault="00000000" w:rsidRPr="00000000" w14:paraId="00000021">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