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915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expanding access to trails for people of all abilities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Ciccolo</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S.548, Senator Comerford (Senate counterpart)</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H.769; Reported favorably by ENR with S.446 (senate counterpart) to SWM</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21 (The Department of Conservation and Recreation) of MGL by inserting a new section 2H. This new section states that it is the policy of the Commonwealth and of the Department of Conservation and Recreation (DCR) and the Department of Fish and Game (DFG) to maximize access to trails, outdoor spaces, and outdoor recreational activities for people of all abilities, and to advance equity for all residents.</w:t>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Secretary of Energy and Environmental Affairs (EEA) will establish the Trail Access Working Group, and will serve as its Chair or will appoint a designee. The specific requirements of working group members is outlined within the bill text. </w:t>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Trail Access Working Group will review best practices regarding accessibility standards for outdoor developed areas and will file an annual report summarizing the findings of its reviews and will make recommendations. This report will be sent to the Governor, the Executive Office of Energy and Environmental Affairs, and to the Joint Committee on Environment and Natural Resources. The Secretary of the EEA will also create the Trail Access Advisory Council, which will serve as a public resource for trail accessibility. The specific requirements of council members is outlined within the bill text. </w:t>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will submit an annual report of its findings, conclusions, proposals, recommendations and progress towards reaching the recommendations described in the Trail Access Working Group’s final report. Similar to the working group, the council’s report will be sent to the Governor, the Executive Office of Energy and Environmental Affairs, and to the Joint Committee on Environment and Natural Resources. </w:t>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bill establishes the Massachusetts Trail Access Fund. This fund will be administered by the Secretary of the EEA. Revenues within this fund will be from both public and private sources such as appropriations, gifts, grants, donations, reimbursements from the federal government and grants-in-aid or other receipts.</w:t>
            </w:r>
          </w:p>
          <w:p w:rsidR="00000000" w:rsidDel="00000000" w:rsidP="00000000" w:rsidRDefault="00000000" w:rsidRPr="00000000" w14:paraId="0000001B">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the Trail Access Advisory Council will be appointed three months after this bill’s passage. Any reports and recommendations of the Council will be filed no later than one year after its first meeting. </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