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5"/>
        <w:gridCol w:w="6900"/>
        <w:tblGridChange w:id="0">
          <w:tblGrid>
            <w:gridCol w:w="244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921</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concurrent jurisdiction on National Park Service properties</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Cruz </w:t>
            </w:r>
            <w:r w:rsidDel="00000000" w:rsidR="00000000" w:rsidRPr="00000000">
              <w:rPr>
                <w:rtl w:val="0"/>
              </w:rPr>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S.632, Sen. Lovely</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H.722/S.527; sent to study by ENR</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0">
            <w:pPr>
              <w:spacing w:after="0" w:before="0" w:lineRule="auto"/>
              <w:rPr>
                <w:rFonts w:ascii="Times New Roman" w:cs="Times New Roman" w:eastAsia="Times New Roman" w:hAnsi="Times New Roman"/>
                <w:b w:val="1"/>
                <w:sz w:val="10"/>
                <w:szCs w:val="10"/>
                <w:u w:val="single"/>
              </w:rPr>
            </w:pPr>
            <w:r w:rsidDel="00000000" w:rsidR="00000000" w:rsidRPr="00000000">
              <w:rPr>
                <w:rtl w:val="0"/>
              </w:rPr>
            </w:r>
          </w:p>
          <w:p w:rsidR="00000000" w:rsidDel="00000000" w:rsidP="00000000" w:rsidRDefault="00000000" w:rsidRPr="00000000" w14:paraId="00000011">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legislation clarifies that the Commonwealth of Massachusetts cedes concurrent jurisdiction over the lands, waters, and buildings provided and administered by the US Department of the Interior's National Parks Service in Section 1 of Chapter 360 of the acts of 1984. </w:t>
            </w:r>
          </w:p>
          <w:p w:rsidR="00000000" w:rsidDel="00000000" w:rsidP="00000000" w:rsidRDefault="00000000" w:rsidRPr="00000000" w14:paraId="00000012">
            <w:pPr>
              <w:spacing w:after="0" w:before="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3">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areas are included in this jurisdiction: Adams National Historic Site (Quincy), Boston Afro-American National Historic Site, Boston National Historic Park, Cape Cod National Seashore (Chatham, Orleans, Eastham, Truro, Provincetown, Wellfleet), Longfellow National Historic Site (Cambridge), John F. Kennedy National Historic Site (Brookline), Frederick Law Olmstead National Historic Site (Brookline), Lowell National Historical Park, Minuteman National Historical Park (Concord, Lexington, Lincoln), Salem Maritime National Historic Site, Saugus Iron Works National Historic Site, and the Springfield Armory National Historic Site.</w:t>
            </w:r>
          </w:p>
          <w:p w:rsidR="00000000" w:rsidDel="00000000" w:rsidP="00000000" w:rsidRDefault="00000000" w:rsidRPr="00000000" w14:paraId="00000014">
            <w:pPr>
              <w:spacing w:after="0" w:before="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concurrent jurisdiction shall vest in the United States of America when the Director of the National Parks Service files a notice of such acceptance with the MA Governor and Secretary of State.</w:t>
            </w:r>
            <w:r w:rsidDel="00000000" w:rsidR="00000000" w:rsidRPr="00000000">
              <w:rPr>
                <w:rtl w:val="0"/>
              </w:rPr>
            </w:r>
          </w:p>
        </w:tc>
      </w:tr>
    </w:tbl>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