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45.0" w:type="dxa"/>
        <w:jc w:val="left"/>
        <w:tblInd w:w="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175"/>
        <w:gridCol w:w="7170"/>
        <w:tblGridChange w:id="0">
          <w:tblGrid>
            <w:gridCol w:w="2175"/>
            <w:gridCol w:w="717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922</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greywater recycling</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Cusack</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S591, by Senator Eldridge</w:t>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Chapter 142 of Massachusetts General Law is amended to include Section 23.</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legislation establishes comprehensive regulations for greywater recycling in Massachusetts. It defines ‘greywater’ as wastewater from sources like showers and washing machines (excluding hazardous or contaminated sources) and sets standards for its reuse in single-family and multifamily buildings. Tier 1 systems, serving single-family homes using under 400 gallons per day, can be installed without a permit if specific safety and operational requirements are met.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Tier 2 systems, serving multifamily, commercial, and institutional buildings using up to 3,000 gallons daily, require permits and follow stricter guidelines. New multifamily buildings and large renovations over 10,000 square feet must include greywater systems starting January 1, 2026. Local health authorities oversee enforcement and may issue waivers, while municipalities are prohibited from restricting greywater use beyond these regulations.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