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color="auto" w:space="0" w:sz="0" w:val="none"/>
          <w:left w:color="auto" w:space="0" w:sz="0" w:val="none"/>
          <w:bottom w:color="auto" w:space="0" w:sz="0" w:val="none"/>
          <w:right w:color="auto" w:space="0" w:sz="0" w:val="none"/>
          <w:between w:color="auto" w:space="0" w:sz="0" w:val="none"/>
        </w:pBdr>
        <w:shd w:fill="ffffff" w:val="clear"/>
        <w:spacing w:after="20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Joint Committee on Environment and Natural Resources</w:t>
      </w: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002">
      <w:pPr>
        <w:pBdr>
          <w:top w:color="auto" w:space="0" w:sz="0" w:val="none"/>
          <w:left w:color="auto" w:space="0" w:sz="0" w:val="none"/>
          <w:bottom w:color="auto" w:space="0" w:sz="0" w:val="none"/>
          <w:right w:color="auto" w:space="0" w:sz="0" w:val="none"/>
          <w:between w:color="auto" w:space="0" w:sz="0" w:val="none"/>
        </w:pBdr>
        <w:shd w:fill="ffffff" w:val="clear"/>
        <w:spacing w:after="20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8"/>
          <w:szCs w:val="28"/>
          <w:rtl w:val="0"/>
        </w:rPr>
        <w:t xml:space="preserve">Bill Summary</w:t>
      </w:r>
      <w:r w:rsidDel="00000000" w:rsidR="00000000" w:rsidRPr="00000000">
        <w:rPr>
          <w:rFonts w:ascii="Times New Roman" w:cs="Times New Roman" w:eastAsia="Times New Roman" w:hAnsi="Times New Roman"/>
          <w:sz w:val="28"/>
          <w:szCs w:val="28"/>
          <w:rtl w:val="0"/>
        </w:rPr>
        <w:t xml:space="preserve"> </w:t>
        <w:br w:type="textWrapping"/>
      </w:r>
      <w:r w:rsidDel="00000000" w:rsidR="00000000" w:rsidRPr="00000000">
        <w:rPr>
          <w:rFonts w:ascii="Times New Roman" w:cs="Times New Roman" w:eastAsia="Times New Roman" w:hAnsi="Times New Roman"/>
          <w:b w:val="1"/>
          <w:sz w:val="24"/>
          <w:szCs w:val="24"/>
          <w:rtl w:val="0"/>
        </w:rPr>
        <w:t xml:space="preserve">__________________________________________________________________</w:t>
      </w:r>
      <w:r w:rsidDel="00000000" w:rsidR="00000000" w:rsidRPr="00000000">
        <w:rPr>
          <w:rFonts w:ascii="Times New Roman" w:cs="Times New Roman" w:eastAsia="Times New Roman" w:hAnsi="Times New Roman"/>
          <w:sz w:val="24"/>
          <w:szCs w:val="24"/>
          <w:rtl w:val="0"/>
        </w:rPr>
        <w:t xml:space="preserve"> </w:t>
      </w:r>
    </w:p>
    <w:tbl>
      <w:tblPr>
        <w:tblStyle w:val="Table1"/>
        <w:tblW w:w="9345.0" w:type="dxa"/>
        <w:jc w:val="left"/>
        <w:tblInd w:w="15.0" w:type="dxa"/>
        <w:tblBorders>
          <w:top w:color="808080" w:space="0" w:sz="4" w:val="single"/>
          <w:left w:color="808080" w:space="0" w:sz="4" w:val="single"/>
          <w:bottom w:color="808080" w:space="0" w:sz="4" w:val="single"/>
          <w:right w:color="808080" w:space="0" w:sz="4" w:val="single"/>
          <w:insideH w:color="808080" w:space="0" w:sz="4" w:val="single"/>
          <w:insideV w:color="808080" w:space="0" w:sz="4" w:val="single"/>
        </w:tblBorders>
        <w:tblLayout w:type="fixed"/>
        <w:tblLook w:val="0600"/>
      </w:tblPr>
      <w:tblGrid>
        <w:gridCol w:w="2175"/>
        <w:gridCol w:w="7170"/>
        <w:tblGridChange w:id="0">
          <w:tblGrid>
            <w:gridCol w:w="2175"/>
            <w:gridCol w:w="7170"/>
          </w:tblGrid>
        </w:tblGridChange>
      </w:tblGrid>
      <w:tr>
        <w:trPr>
          <w:cantSplit w:val="0"/>
          <w:trHeight w:val="540" w:hRule="atLeast"/>
          <w:tblHeader w:val="0"/>
        </w:trPr>
        <w:tc>
          <w:tcPr>
            <w:tcBorders>
              <w:top w:color="000000" w:space="0" w:sz="0" w:val="nil"/>
              <w:left w:color="000000" w:space="0" w:sz="0" w:val="nil"/>
              <w:bottom w:color="000000" w:space="0" w:sz="0" w:val="nil"/>
              <w:right w:color="000000" w:space="0" w:sz="0" w:val="nil"/>
            </w:tcBorders>
            <w:tcMar>
              <w:top w:w="0.0" w:type="dxa"/>
              <w:left w:w="0.0" w:type="dxa"/>
              <w:bottom w:w="0.0" w:type="dxa"/>
              <w:right w:w="0.0" w:type="dxa"/>
            </w:tcMar>
            <w:vAlign w:val="top"/>
          </w:tcPr>
          <w:p w:rsidR="00000000" w:rsidDel="00000000" w:rsidP="00000000" w:rsidRDefault="00000000" w:rsidRPr="00000000" w14:paraId="00000003">
            <w:pPr>
              <w:pBdr>
                <w:top w:color="auto" w:space="0" w:sz="0" w:val="none"/>
                <w:left w:color="auto" w:space="0" w:sz="0" w:val="none"/>
                <w:bottom w:color="auto" w:space="0" w:sz="0" w:val="none"/>
                <w:right w:color="auto" w:space="0" w:sz="0" w:val="none"/>
                <w:between w:color="auto" w:space="0" w:sz="0" w:val="none"/>
              </w:pBdr>
              <w:spacing w:after="240" w:before="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u w:val="single"/>
                <w:rtl w:val="0"/>
              </w:rPr>
              <w:t xml:space="preserve">BILL NUMBER</w:t>
            </w:r>
            <w:r w:rsidDel="00000000" w:rsidR="00000000" w:rsidRPr="00000000">
              <w:rPr>
                <w:rFonts w:ascii="Times New Roman" w:cs="Times New Roman" w:eastAsia="Times New Roman" w:hAnsi="Times New Roman"/>
                <w:sz w:val="24"/>
                <w:szCs w:val="24"/>
                <w:rtl w:val="0"/>
              </w:rPr>
              <w:t xml:space="preserve"> </w:t>
            </w:r>
          </w:p>
        </w:tc>
        <w:tc>
          <w:tcPr>
            <w:tcBorders>
              <w:top w:color="000000" w:space="0" w:sz="0" w:val="nil"/>
              <w:left w:color="000000" w:space="0" w:sz="0" w:val="nil"/>
              <w:bottom w:color="000000" w:space="0" w:sz="0" w:val="nil"/>
              <w:right w:color="000000" w:space="0" w:sz="0" w:val="nil"/>
            </w:tcBorders>
            <w:tcMar>
              <w:top w:w="0.0" w:type="dxa"/>
              <w:left w:w="0.0" w:type="dxa"/>
              <w:bottom w:w="0.0" w:type="dxa"/>
              <w:right w:w="0.0" w:type="dxa"/>
            </w:tcMar>
            <w:vAlign w:val="top"/>
          </w:tcPr>
          <w:p w:rsidR="00000000" w:rsidDel="00000000" w:rsidP="00000000" w:rsidRDefault="00000000" w:rsidRPr="00000000" w14:paraId="00000004">
            <w:pPr>
              <w:pBdr>
                <w:top w:color="auto" w:space="0" w:sz="0" w:val="none"/>
                <w:left w:color="auto" w:space="0" w:sz="0" w:val="none"/>
                <w:bottom w:color="auto" w:space="0" w:sz="0" w:val="none"/>
                <w:right w:color="auto" w:space="0" w:sz="0" w:val="none"/>
                <w:between w:color="auto" w:space="0" w:sz="0" w:val="none"/>
              </w:pBdr>
              <w:spacing w:after="240" w:before="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House, No. 922</w:t>
            </w:r>
          </w:p>
        </w:tc>
      </w:tr>
      <w:tr>
        <w:trPr>
          <w:cantSplit w:val="0"/>
          <w:trHeight w:val="855" w:hRule="atLeast"/>
          <w:tblHeader w:val="0"/>
        </w:trPr>
        <w:tc>
          <w:tcPr>
            <w:tcBorders>
              <w:top w:color="000000" w:space="0" w:sz="0" w:val="nil"/>
              <w:left w:color="000000" w:space="0" w:sz="0" w:val="nil"/>
              <w:bottom w:color="000000" w:space="0" w:sz="0" w:val="nil"/>
              <w:right w:color="000000" w:space="0" w:sz="0" w:val="nil"/>
            </w:tcBorders>
            <w:tcMar>
              <w:top w:w="0.0" w:type="dxa"/>
              <w:left w:w="0.0" w:type="dxa"/>
              <w:bottom w:w="0.0" w:type="dxa"/>
              <w:right w:w="0.0" w:type="dxa"/>
            </w:tcMar>
            <w:vAlign w:val="top"/>
          </w:tcPr>
          <w:p w:rsidR="00000000" w:rsidDel="00000000" w:rsidP="00000000" w:rsidRDefault="00000000" w:rsidRPr="00000000" w14:paraId="00000005">
            <w:pPr>
              <w:pBdr>
                <w:top w:color="auto" w:space="0" w:sz="0" w:val="none"/>
                <w:left w:color="auto" w:space="0" w:sz="0" w:val="none"/>
                <w:bottom w:color="auto" w:space="0" w:sz="0" w:val="none"/>
                <w:right w:color="auto" w:space="0" w:sz="0" w:val="none"/>
                <w:between w:color="auto" w:space="0" w:sz="0" w:val="none"/>
              </w:pBdr>
              <w:spacing w:after="240" w:before="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u w:val="single"/>
                <w:rtl w:val="0"/>
              </w:rPr>
              <w:t xml:space="preserve">TITLE</w:t>
            </w:r>
            <w:r w:rsidDel="00000000" w:rsidR="00000000" w:rsidRPr="00000000">
              <w:rPr>
                <w:rFonts w:ascii="Times New Roman" w:cs="Times New Roman" w:eastAsia="Times New Roman" w:hAnsi="Times New Roman"/>
                <w:sz w:val="24"/>
                <w:szCs w:val="24"/>
                <w:rtl w:val="0"/>
              </w:rPr>
              <w:t xml:space="preserve"> </w:t>
            </w:r>
          </w:p>
        </w:tc>
        <w:tc>
          <w:tcPr>
            <w:tcBorders>
              <w:top w:color="000000" w:space="0" w:sz="0" w:val="nil"/>
              <w:left w:color="000000" w:space="0" w:sz="0" w:val="nil"/>
              <w:bottom w:color="000000" w:space="0" w:sz="0" w:val="nil"/>
              <w:right w:color="000000" w:space="0" w:sz="0" w:val="nil"/>
            </w:tcBorders>
            <w:tcMar>
              <w:top w:w="0.0" w:type="dxa"/>
              <w:left w:w="0.0" w:type="dxa"/>
              <w:bottom w:w="0.0" w:type="dxa"/>
              <w:right w:w="0.0" w:type="dxa"/>
            </w:tcMar>
            <w:vAlign w:val="top"/>
          </w:tcPr>
          <w:p w:rsidR="00000000" w:rsidDel="00000000" w:rsidP="00000000" w:rsidRDefault="00000000" w:rsidRPr="00000000" w14:paraId="00000006">
            <w:pPr>
              <w:pBdr>
                <w:top w:color="auto" w:space="0" w:sz="0" w:val="none"/>
                <w:left w:color="auto" w:space="0" w:sz="0" w:val="none"/>
                <w:bottom w:color="auto" w:space="0" w:sz="0" w:val="none"/>
                <w:right w:color="auto" w:space="0" w:sz="0" w:val="none"/>
                <w:between w:color="auto" w:space="0" w:sz="0" w:val="none"/>
              </w:pBdr>
              <w:spacing w:after="280" w:before="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 Act relative to greywater recycling</w:t>
            </w:r>
          </w:p>
        </w:tc>
      </w:tr>
      <w:tr>
        <w:trPr>
          <w:cantSplit w:val="0"/>
          <w:trHeight w:val="555" w:hRule="atLeast"/>
          <w:tblHeader w:val="0"/>
        </w:trPr>
        <w:tc>
          <w:tcPr>
            <w:tcBorders>
              <w:top w:color="000000" w:space="0" w:sz="0" w:val="nil"/>
              <w:left w:color="000000" w:space="0" w:sz="0" w:val="nil"/>
              <w:bottom w:color="000000" w:space="0" w:sz="0" w:val="nil"/>
              <w:right w:color="000000" w:space="0" w:sz="0" w:val="nil"/>
            </w:tcBorders>
            <w:tcMar>
              <w:top w:w="0.0" w:type="dxa"/>
              <w:left w:w="0.0" w:type="dxa"/>
              <w:bottom w:w="0.0" w:type="dxa"/>
              <w:right w:w="0.0" w:type="dxa"/>
            </w:tcMar>
            <w:vAlign w:val="top"/>
          </w:tcPr>
          <w:p w:rsidR="00000000" w:rsidDel="00000000" w:rsidP="00000000" w:rsidRDefault="00000000" w:rsidRPr="00000000" w14:paraId="00000007">
            <w:pPr>
              <w:pBdr>
                <w:top w:color="auto" w:space="0" w:sz="0" w:val="none"/>
                <w:left w:color="auto" w:space="0" w:sz="0" w:val="none"/>
                <w:bottom w:color="auto" w:space="0" w:sz="0" w:val="none"/>
                <w:right w:color="auto" w:space="0" w:sz="0" w:val="none"/>
                <w:between w:color="auto" w:space="0" w:sz="0" w:val="none"/>
              </w:pBdr>
              <w:spacing w:after="280" w:before="4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SPONSORS</w:t>
            </w:r>
          </w:p>
          <w:p w:rsidR="00000000" w:rsidDel="00000000" w:rsidP="00000000" w:rsidRDefault="00000000" w:rsidRPr="00000000" w14:paraId="00000008">
            <w:pPr>
              <w:pBdr>
                <w:top w:color="auto" w:space="0" w:sz="0" w:val="none"/>
                <w:left w:color="auto" w:space="0" w:sz="0" w:val="none"/>
                <w:bottom w:color="auto" w:space="0" w:sz="0" w:val="none"/>
                <w:right w:color="auto" w:space="0" w:sz="0" w:val="none"/>
                <w:between w:color="auto" w:space="0" w:sz="0" w:val="none"/>
              </w:pBdr>
              <w:spacing w:after="280" w:before="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u w:val="single"/>
                <w:rtl w:val="0"/>
              </w:rPr>
              <w:t xml:space="preserve">SIMILAR MATTERS</w:t>
            </w:r>
            <w:r w:rsidDel="00000000" w:rsidR="00000000" w:rsidRPr="00000000">
              <w:rPr>
                <w:rFonts w:ascii="Times New Roman" w:cs="Times New Roman" w:eastAsia="Times New Roman" w:hAnsi="Times New Roman"/>
                <w:sz w:val="24"/>
                <w:szCs w:val="24"/>
                <w:rtl w:val="0"/>
              </w:rPr>
              <w:t xml:space="preserve"> </w:t>
            </w:r>
          </w:p>
        </w:tc>
        <w:tc>
          <w:tcPr>
            <w:tcBorders>
              <w:top w:color="000000" w:space="0" w:sz="0" w:val="nil"/>
              <w:left w:color="000000" w:space="0" w:sz="0" w:val="nil"/>
              <w:bottom w:color="000000" w:space="0" w:sz="0" w:val="nil"/>
              <w:right w:color="000000" w:space="0" w:sz="0" w:val="nil"/>
            </w:tcBorders>
            <w:tcMar>
              <w:top w:w="0.0" w:type="dxa"/>
              <w:left w:w="0.0" w:type="dxa"/>
              <w:bottom w:w="0.0" w:type="dxa"/>
              <w:right w:w="0.0" w:type="dxa"/>
            </w:tcMar>
            <w:vAlign w:val="top"/>
          </w:tcPr>
          <w:p w:rsidR="00000000" w:rsidDel="00000000" w:rsidP="00000000" w:rsidRDefault="00000000" w:rsidRPr="00000000" w14:paraId="00000009">
            <w:pPr>
              <w:pBdr>
                <w:top w:color="auto" w:space="0" w:sz="0" w:val="none"/>
                <w:left w:color="auto" w:space="0" w:sz="0" w:val="none"/>
                <w:bottom w:color="auto" w:space="0" w:sz="0" w:val="none"/>
                <w:right w:color="auto" w:space="0" w:sz="0" w:val="none"/>
                <w:between w:color="auto" w:space="0" w:sz="0" w:val="none"/>
              </w:pBdr>
              <w:spacing w:after="280" w:before="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Representative Cusack</w:t>
            </w:r>
          </w:p>
          <w:p w:rsidR="00000000" w:rsidDel="00000000" w:rsidP="00000000" w:rsidRDefault="00000000" w:rsidRPr="00000000" w14:paraId="0000000A">
            <w:pPr>
              <w:pBdr>
                <w:top w:color="auto" w:space="0" w:sz="0" w:val="none"/>
                <w:left w:color="auto" w:space="0" w:sz="0" w:val="none"/>
                <w:bottom w:color="auto" w:space="0" w:sz="0" w:val="none"/>
                <w:right w:color="auto" w:space="0" w:sz="0" w:val="none"/>
                <w:between w:color="auto" w:space="0" w:sz="0" w:val="none"/>
              </w:pBdr>
              <w:spacing w:after="280" w:before="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S591, by Senator Eldridge</w:t>
            </w:r>
          </w:p>
        </w:tc>
      </w:tr>
      <w:tr>
        <w:trPr>
          <w:cantSplit w:val="0"/>
          <w:trHeight w:val="1260" w:hRule="atLeast"/>
          <w:tblHeader w:val="0"/>
        </w:trPr>
        <w:tc>
          <w:tcPr>
            <w:gridSpan w:val="2"/>
            <w:tcBorders>
              <w:top w:color="000000" w:space="0" w:sz="0" w:val="nil"/>
              <w:left w:color="000000" w:space="0" w:sz="0" w:val="nil"/>
              <w:bottom w:color="000000" w:space="0" w:sz="0" w:val="nil"/>
              <w:right w:color="000000" w:space="0" w:sz="0" w:val="nil"/>
            </w:tcBorders>
            <w:tcMar>
              <w:top w:w="0.0" w:type="dxa"/>
              <w:left w:w="0.0" w:type="dxa"/>
              <w:bottom w:w="0.0" w:type="dxa"/>
              <w:right w:w="0.0" w:type="dxa"/>
            </w:tcMar>
            <w:vAlign w:val="top"/>
          </w:tcPr>
          <w:p w:rsidR="00000000" w:rsidDel="00000000" w:rsidP="00000000" w:rsidRDefault="00000000" w:rsidRPr="00000000" w14:paraId="0000000B">
            <w:pPr>
              <w:pBdr>
                <w:top w:color="auto" w:space="0" w:sz="0" w:val="none"/>
                <w:left w:color="auto" w:space="0" w:sz="0" w:val="none"/>
                <w:bottom w:color="auto" w:space="0" w:sz="0" w:val="none"/>
                <w:right w:color="auto" w:space="0" w:sz="0" w:val="none"/>
                <w:between w:color="auto" w:space="0" w:sz="0" w:val="none"/>
              </w:pBdr>
              <w:spacing w:after="280" w:before="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u w:val="single"/>
                <w:rtl w:val="0"/>
              </w:rPr>
              <w:t xml:space="preserve">PRIOR HISTORY</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0C">
            <w:pPr>
              <w:pBdr>
                <w:top w:color="auto" w:space="0" w:sz="0" w:val="none"/>
                <w:left w:color="auto" w:space="0" w:sz="0" w:val="none"/>
                <w:bottom w:color="auto" w:space="0" w:sz="0" w:val="none"/>
                <w:right w:color="auto" w:space="0" w:sz="0" w:val="none"/>
                <w:between w:color="auto" w:space="0" w:sz="0" w:val="none"/>
              </w:pBdr>
              <w:spacing w:after="280" w:before="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New file; No previous history.</w:t>
            </w:r>
            <w:r w:rsidDel="00000000" w:rsidR="00000000" w:rsidRPr="00000000">
              <w:rPr>
                <w:rtl w:val="0"/>
              </w:rPr>
            </w:r>
          </w:p>
        </w:tc>
      </w:tr>
      <w:tr>
        <w:trPr>
          <w:cantSplit w:val="0"/>
          <w:trHeight w:val="2310" w:hRule="atLeast"/>
          <w:tblHeader w:val="0"/>
        </w:trPr>
        <w:tc>
          <w:tcPr>
            <w:gridSpan w:val="2"/>
            <w:tcBorders>
              <w:top w:color="000000" w:space="0" w:sz="0" w:val="nil"/>
              <w:left w:color="000000" w:space="0" w:sz="0" w:val="nil"/>
              <w:bottom w:color="000000" w:space="0" w:sz="0" w:val="nil"/>
              <w:right w:color="000000" w:space="0" w:sz="0" w:val="nil"/>
            </w:tcBorders>
            <w:shd w:fill="auto" w:val="clear"/>
            <w:tcMar>
              <w:top w:w="0.0" w:type="dxa"/>
              <w:left w:w="0.0" w:type="dxa"/>
              <w:bottom w:w="0.0" w:type="dxa"/>
              <w:right w:w="0.0" w:type="dxa"/>
            </w:tcMar>
            <w:vAlign w:val="top"/>
          </w:tcPr>
          <w:p w:rsidR="00000000" w:rsidDel="00000000" w:rsidP="00000000" w:rsidRDefault="00000000" w:rsidRPr="00000000" w14:paraId="0000000E">
            <w:pPr>
              <w:pBdr>
                <w:top w:color="auto" w:space="0" w:sz="0" w:val="none"/>
                <w:left w:color="auto" w:space="0" w:sz="0" w:val="none"/>
                <w:bottom w:color="auto" w:space="0" w:sz="0" w:val="none"/>
                <w:right w:color="auto" w:space="0" w:sz="0" w:val="none"/>
                <w:between w:color="auto" w:space="0" w:sz="0" w:val="none"/>
              </w:pBdr>
              <w:shd w:fill="ffffff" w:val="clear"/>
              <w:spacing w:after="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u w:val="single"/>
                <w:rtl w:val="0"/>
              </w:rPr>
              <w:t xml:space="preserve">SUMMARY</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0F">
            <w:pPr>
              <w:pBdr>
                <w:top w:color="auto" w:space="0" w:sz="0" w:val="none"/>
                <w:left w:color="auto" w:space="0" w:sz="0" w:val="none"/>
                <w:bottom w:color="auto" w:space="0" w:sz="0" w:val="none"/>
                <w:right w:color="auto" w:space="0" w:sz="0" w:val="none"/>
                <w:between w:color="auto" w:space="0" w:sz="0" w:val="none"/>
              </w:pBdr>
              <w:shd w:fill="ffffff" w:val="clear"/>
              <w:spacing w:after="200" w:lineRule="auto"/>
              <w:rPr>
                <w:rFonts w:ascii="Times New Roman" w:cs="Times New Roman" w:eastAsia="Times New Roman" w:hAnsi="Times New Roman"/>
                <w:color w:val="333333"/>
                <w:sz w:val="24"/>
                <w:szCs w:val="24"/>
                <w:highlight w:val="white"/>
              </w:rPr>
            </w:pPr>
            <w:r w:rsidDel="00000000" w:rsidR="00000000" w:rsidRPr="00000000">
              <w:rPr>
                <w:rFonts w:ascii="Times New Roman" w:cs="Times New Roman" w:eastAsia="Times New Roman" w:hAnsi="Times New Roman"/>
                <w:color w:val="333333"/>
                <w:sz w:val="24"/>
                <w:szCs w:val="24"/>
                <w:highlight w:val="white"/>
                <w:rtl w:val="0"/>
              </w:rPr>
              <w:t xml:space="preserve">Chapter 142 of Massachusetts General Law is amended to include Section 23.</w:t>
            </w:r>
          </w:p>
          <w:p w:rsidR="00000000" w:rsidDel="00000000" w:rsidP="00000000" w:rsidRDefault="00000000" w:rsidRPr="00000000" w14:paraId="00000010">
            <w:pPr>
              <w:pBdr>
                <w:top w:color="auto" w:space="0" w:sz="0" w:val="none"/>
                <w:left w:color="auto" w:space="0" w:sz="0" w:val="none"/>
                <w:bottom w:color="auto" w:space="0" w:sz="0" w:val="none"/>
                <w:right w:color="auto" w:space="0" w:sz="0" w:val="none"/>
                <w:between w:color="auto" w:space="0" w:sz="0" w:val="none"/>
              </w:pBdr>
              <w:shd w:fill="ffffff" w:val="clear"/>
              <w:spacing w:after="200" w:lineRule="auto"/>
              <w:rPr>
                <w:rFonts w:ascii="Times New Roman" w:cs="Times New Roman" w:eastAsia="Times New Roman" w:hAnsi="Times New Roman"/>
                <w:color w:val="333333"/>
                <w:sz w:val="24"/>
                <w:szCs w:val="24"/>
                <w:highlight w:val="white"/>
              </w:rPr>
            </w:pPr>
            <w:r w:rsidDel="00000000" w:rsidR="00000000" w:rsidRPr="00000000">
              <w:rPr>
                <w:rFonts w:ascii="Times New Roman" w:cs="Times New Roman" w:eastAsia="Times New Roman" w:hAnsi="Times New Roman"/>
                <w:color w:val="333333"/>
                <w:sz w:val="24"/>
                <w:szCs w:val="24"/>
                <w:highlight w:val="white"/>
                <w:rtl w:val="0"/>
              </w:rPr>
              <w:t xml:space="preserve">This legislation establishes comprehensive regulations for greywater recycling in Massachusetts. It defines ‘greywater’ as wastewater from sources like showers and washing machines (excluding hazardous or contaminated sources) and sets standards for its reuse in single-family and multifamily buildings. Tier 1 systems, serving single-family homes using under 400 gallons per day, can be installed without a permit if specific safety and operational requirements are met. </w:t>
            </w:r>
          </w:p>
          <w:p w:rsidR="00000000" w:rsidDel="00000000" w:rsidP="00000000" w:rsidRDefault="00000000" w:rsidRPr="00000000" w14:paraId="00000011">
            <w:pPr>
              <w:pBdr>
                <w:top w:color="auto" w:space="0" w:sz="0" w:val="none"/>
                <w:left w:color="auto" w:space="0" w:sz="0" w:val="none"/>
                <w:bottom w:color="auto" w:space="0" w:sz="0" w:val="none"/>
                <w:right w:color="auto" w:space="0" w:sz="0" w:val="none"/>
                <w:between w:color="auto" w:space="0" w:sz="0" w:val="none"/>
              </w:pBdr>
              <w:shd w:fill="ffffff" w:val="clear"/>
              <w:spacing w:after="200" w:lineRule="auto"/>
              <w:rPr>
                <w:rFonts w:ascii="Times New Roman" w:cs="Times New Roman" w:eastAsia="Times New Roman" w:hAnsi="Times New Roman"/>
                <w:color w:val="333333"/>
                <w:sz w:val="24"/>
                <w:szCs w:val="24"/>
                <w:highlight w:val="white"/>
              </w:rPr>
            </w:pPr>
            <w:r w:rsidDel="00000000" w:rsidR="00000000" w:rsidRPr="00000000">
              <w:rPr>
                <w:rFonts w:ascii="Times New Roman" w:cs="Times New Roman" w:eastAsia="Times New Roman" w:hAnsi="Times New Roman"/>
                <w:color w:val="333333"/>
                <w:sz w:val="24"/>
                <w:szCs w:val="24"/>
                <w:highlight w:val="white"/>
                <w:rtl w:val="0"/>
              </w:rPr>
              <w:t xml:space="preserve">Tier 2 systems, serving multifamily, commercial, and institutional buildings using up to 3,000 gallons daily, require permits and follow stricter guidelines. New multifamily buildings and large renovations over 10,000 square feet must include greywater systems starting January 1, 2026. Local health authorities oversee enforcement and may issue waivers, while municipalities are prohibited from restricting greywater use beyond these regulations.</w:t>
            </w:r>
          </w:p>
          <w:p w:rsidR="00000000" w:rsidDel="00000000" w:rsidP="00000000" w:rsidRDefault="00000000" w:rsidRPr="00000000" w14:paraId="00000012">
            <w:pPr>
              <w:pBdr>
                <w:top w:color="auto" w:space="0" w:sz="0" w:val="none"/>
                <w:left w:color="auto" w:space="0" w:sz="0" w:val="none"/>
                <w:bottom w:color="auto" w:space="0" w:sz="0" w:val="none"/>
                <w:right w:color="auto" w:space="0" w:sz="0" w:val="none"/>
                <w:between w:color="auto" w:space="0" w:sz="0" w:val="none"/>
              </w:pBdr>
              <w:spacing w:after="240" w:before="40" w:lineRule="auto"/>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014">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