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923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reasonable Mass Wildlife Board expense reimbursement</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Davis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H.4306 (Pignatelli); </w:t>
            </w:r>
            <w:r w:rsidDel="00000000" w:rsidR="00000000" w:rsidRPr="00000000">
              <w:rPr>
                <w:rFonts w:ascii="Times New Roman" w:cs="Times New Roman" w:eastAsia="Times New Roman" w:hAnsi="Times New Roman"/>
                <w:rtl w:val="0"/>
              </w:rPr>
              <w:t xml:space="preserve">Reported favorably from ENR to HWM where no further action was taken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131 of MGL (Inland Fisheries and Game and Other Natural Resources) by updating section 1D (Reimbursement) to allow board members of the Division of Fisheries and Wildlife to be reimbursed for any expenses made in their official duties. These reimbursements cannot exceed $30,000 in total, among all board members, annually.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