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45.0" w:type="dxa"/>
        <w:jc w:val="left"/>
        <w:tblInd w:w="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175"/>
        <w:gridCol w:w="7170"/>
        <w:tblGridChange w:id="0">
          <w:tblGrid>
            <w:gridCol w:w="2175"/>
            <w:gridCol w:w="717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924</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Great Barrington Fire District</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Davis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6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tl w:val="0"/>
              </w:rPr>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Chapter 335 of Massachusetts General Law is amended to include Section 4, authorizing the Great Barrington Fire District to supply any of the inhabitants of the town of Great Barrington with water for domestic and other purposes, upon such terms as the fire district may determine.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