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924</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Great Barrington Fire District</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Davis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Chapter 335 of Massachusetts General Law is amended to include Section 4, authorizing the Great Barrington Fire District to supply any of the inhabitants of the town of Great Barrington with water for domestic and other purposes, upon such terms as the fire district may determine.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