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927</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Resolve to review, consider, and evaluate, and to establish a suitable body and/or special commission to consider climate change economic consequences</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Day (By Request)</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S453; Reported to study S2489 by ENRA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H749; Reported to study H5073 by ENRA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H877; Reported to a study H5401 by ENRA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H778; accompanied a study order, H4668 by ENR</w:t>
            </w:r>
          </w:p>
        </w:tc>
      </w:tr>
      <w:tr>
        <w:trPr>
          <w:cantSplit w:val="0"/>
          <w:tblHeader w:val="0"/>
        </w:trPr>
        <w:tc>
          <w:tcPr>
            <w:gridSpan w:val="2"/>
          </w:tcPr>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establishes a Climate Change Economic Consequences Commission to collect data, assess likely outcomes associated with climate change, and to report on associated costs, including but not limited to insurance costs, related to disasters and other environmental changes.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commission's membership will include twenty one members:   </w:t>
            </w:r>
          </w:p>
          <w:p w:rsidR="00000000" w:rsidDel="00000000" w:rsidP="00000000" w:rsidRDefault="00000000" w:rsidRPr="00000000" w14:paraId="0000001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appointed by the Governor  </w:t>
            </w:r>
          </w:p>
          <w:p w:rsidR="00000000" w:rsidDel="00000000" w:rsidP="00000000" w:rsidRDefault="00000000" w:rsidRPr="00000000" w14:paraId="0000001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appointed by the Senate President  </w:t>
            </w:r>
          </w:p>
          <w:p w:rsidR="00000000" w:rsidDel="00000000" w:rsidP="00000000" w:rsidRDefault="00000000" w:rsidRPr="00000000" w14:paraId="0000001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appointed by the Speaker of the House  </w:t>
            </w:r>
          </w:p>
          <w:p w:rsidR="00000000" w:rsidDel="00000000" w:rsidP="00000000" w:rsidRDefault="00000000" w:rsidRPr="00000000" w14:paraId="0000001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remaining 6 appointed by the above 15 members through an application process of members of the Commonwealth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resolve requires the Commission to meet at least 4 times per year and to file reports at least annually; completing business within 5 years of its establishment.   </w:t>
            </w:r>
          </w:p>
        </w:tc>
      </w:tr>
    </w:tbl>
    <w:p w:rsidR="00000000" w:rsidDel="00000000" w:rsidP="00000000" w:rsidRDefault="00000000" w:rsidRPr="00000000" w14:paraId="0000001B">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