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929</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the board of registration of hazardous waste site cleanup professionals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DeCoste</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S646 by Senator O’Connor</w:t>
            </w:r>
          </w:p>
        </w:tc>
      </w:tr>
      <w:tr>
        <w:trPr>
          <w:cantSplit w:val="0"/>
          <w:trHeight w:val="1291.8823242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H3873; sent to study by ENRA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H882; sent to study by ENRA</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H782; accompanied a study order, H4668</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1">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act replaces the section of the General Laws creating the board of registration of hazardous waste site cleanup professionals by changing the requirements of the members who serve on the board. Said members may now only serve a single four-year term and as an alternate for a partial term. Members will be compensated for their service on the board, and the secretary of EEA will hire staff to assist the board in their functions.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governor shall remove all members of the board and replace them with members of the specified criteria.  The chair of the board shall remain in said position at their discretion for not more than 3 years, and the commissioner may appoint a qualified co-chair.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act shall take effect 6 months after passage.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