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900"/>
        <w:tblGridChange w:id="0">
          <w:tblGrid>
            <w:gridCol w:w="244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931</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Style w:val="Heading2"/>
              <w:keepNext w:val="0"/>
              <w:keepLines w:val="0"/>
              <w:shd w:fill="ffffff" w:val="clear"/>
              <w:spacing w:after="0" w:before="0" w:line="264" w:lineRule="auto"/>
              <w:rPr>
                <w:rFonts w:ascii="Times New Roman" w:cs="Times New Roman" w:eastAsia="Times New Roman" w:hAnsi="Times New Roman"/>
                <w:sz w:val="24"/>
                <w:szCs w:val="24"/>
              </w:rPr>
            </w:pPr>
            <w:bookmarkStart w:colFirst="0" w:colLast="0" w:name="_cmzt2x5yyxtj" w:id="0"/>
            <w:bookmarkEnd w:id="0"/>
            <w:r w:rsidDel="00000000" w:rsidR="00000000" w:rsidRPr="00000000">
              <w:rPr>
                <w:rFonts w:ascii="Times New Roman" w:cs="Times New Roman" w:eastAsia="Times New Roman" w:hAnsi="Times New Roman"/>
                <w:sz w:val="24"/>
                <w:szCs w:val="24"/>
                <w:rtl w:val="0"/>
              </w:rPr>
              <w:t xml:space="preserve">An Act establishing the Blue Communities Program</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81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Domb</w:t>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0" w:before="0" w:lineRule="auto"/>
              <w:rPr>
                <w:rFonts w:ascii="Times New Roman" w:cs="Times New Roman" w:eastAsia="Times New Roman" w:hAnsi="Times New Roman"/>
                <w:b w:val="1"/>
                <w:sz w:val="18"/>
                <w:szCs w:val="18"/>
                <w:u w:val="single"/>
              </w:rPr>
            </w:pPr>
            <w:r w:rsidDel="00000000" w:rsidR="00000000" w:rsidRPr="00000000">
              <w:rPr>
                <w:rtl w:val="0"/>
              </w:rPr>
            </w:r>
          </w:p>
          <w:p w:rsidR="00000000" w:rsidDel="00000000" w:rsidP="00000000" w:rsidRDefault="00000000" w:rsidRPr="00000000" w14:paraId="0000000C">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S.600, by Sen. Fernandes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   </w:t>
            </w:r>
          </w:p>
          <w:p w:rsidR="00000000" w:rsidDel="00000000" w:rsidP="00000000" w:rsidRDefault="00000000" w:rsidRPr="00000000" w14:paraId="0000000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H4102; favorably redrafted as H4596 by ENRA; referred to HWM where no further action was taken.</w:t>
            </w:r>
          </w:p>
          <w:p w:rsidR="00000000" w:rsidDel="00000000" w:rsidP="00000000" w:rsidRDefault="00000000" w:rsidRPr="00000000" w14:paraId="0000001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H792; reported favorably by ENR and referred to HWM where no further action was taken.</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amends Chapter 21N in MGL by adding a new section (Section 12) to establish the Blue Communities Program. The Executive Office of Energy and Environmental Affairs (EEA) is charged with creating a blue communities grant program to incentivize municipalities and other local government entities to reduce nutrient pollution and ocean acidification. EEA may integrate the program into existing programs such as the green communities, municipal vulnerability preparedness, and municipal recycling programs. </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qualify for the blue communities program municipalities must apply (as prescribed by EEA) and adopt at least five of the nine initiatives outlined in the bill, with plans to prioritize environmental justice communities, establish specific metrics and report program expenditures to EEA. </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EEA is to establish a Blue Communities Fund, and may integrate the fund with the existing Global Warming Solutions Trust Fund. Funds are to be appropriated annually by the state and may include funds obtained from offshore wind, cap and invest programs, sales tax on fertilizers, other revenue sources related to environmental initiatives. </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EEA is authorized to promulgate rules and regulations and is tasked with adopting a structure for communities to receive funding that prioritizes communities that adopt more of the nine initiatives outlined in the bill. EEA must also file a report with the House and Senate clerks by September 1 detailing blue communities program expenditures and results.  </w:t>
            </w:r>
            <w:r w:rsidDel="00000000" w:rsidR="00000000" w:rsidRPr="00000000">
              <w:rPr>
                <w:rtl w:val="0"/>
              </w:rPr>
            </w:r>
          </w:p>
        </w:tc>
      </w:tr>
    </w:tbl>
    <w:p w:rsidR="00000000" w:rsidDel="00000000" w:rsidP="00000000" w:rsidRDefault="00000000" w:rsidRPr="00000000" w14:paraId="00000018">
      <w:pPr>
        <w:spacing w:after="240" w:befor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