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932</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pesticide board</w:t>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Domb</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S.617, Senator Lewis (Senate counterpart)</w:t>
            </w:r>
          </w:p>
        </w:tc>
      </w:tr>
      <w:tr>
        <w:trPr>
          <w:cantSplit w:val="0"/>
          <w:trHeight w:val="228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2021-2022: Filed as H.4143; Favorably redrafted as H.4601 by ENRA; Referred to the Joint Committee on Rules where it was recommended ought to pass; Referred to HWM, no further action taken</w:t>
            </w:r>
          </w:p>
          <w:p w:rsidR="00000000" w:rsidDel="00000000" w:rsidP="00000000" w:rsidRDefault="00000000" w:rsidRPr="00000000" w14:paraId="0000000E">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H.783; Reported favorably and sent to HWM, no further action taken</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establishes a task force known as the pesticide control modernization and environmental protection task force. This task force will analyze the commonwealth’s statutes, regulations, and practices which govern pest control. The specific makeup of task force members is outlined within the bill text.</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task force will review and make recommendations to improve the ability of the commonwealth to prevent and mitigate adverse impacts of pesticide use on the environment and public health. The issues examined by the task force will include, but are not limited to: structure, membership, and operation of the pesticide board and the pesticide board subcommittee currently within the department of agricultural resources; the ability of the pesticide board and pesticide board subcommittee to effectively interact with other state agencies, stakeholders, and the public; the Commonwealth’s relationship with federal pesticide regulators and ability to implement federal pesticide regulations on the state level in a manner consistent with pesticide use reduction goals.</w:t>
            </w:r>
            <w:r w:rsidDel="00000000" w:rsidR="00000000" w:rsidRPr="00000000">
              <w:rPr>
                <w:rtl w:val="0"/>
              </w:rPr>
            </w:r>
          </w:p>
        </w:tc>
      </w:tr>
    </w:tbl>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