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932</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the pesticide board</w:t>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Domb</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S.617, Senator Lewis (Senate counterpart)</w:t>
            </w:r>
          </w:p>
        </w:tc>
      </w:tr>
      <w:tr>
        <w:trPr>
          <w:cantSplit w:val="0"/>
          <w:trHeight w:val="228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H.4143; Favorably redrafted as H.4601 by ENRA; Referred to the Joint Committee on Rules where it was recommended ought to pass; Referred to HWM, no further action taken</w:t>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H.783; Reported favorably and sent to HWM, no further action taken</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establishes a task force known as the pesticide control modernization and environmental protection task force. This task force will analyze the commonwealth’s statutes, regulations, and practices which govern pest control. The specific makeup of task force members is outlined within the bill text.</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task force will review and make recommendations to improve the ability of the commonwealth to prevent and mitigate adverse impacts of pesticide use on the environment and public health. The issues examined by the task force will include, but are not limited to: structure, membership, and operation of the pesticide board and the pesticide board subcommittee currently within the department of agricultural resources; the ability of the pesticide board and pesticide board subcommittee to effectively interact with other state agencies, stakeholders, and the public; the Commonwealth’s relationship with federal pesticide regulators and ability to implement federal pesticide regulations on the state level in a manner consistent with pesticide use reduction goals.</w:t>
            </w:r>
            <w:r w:rsidDel="00000000" w:rsidR="00000000" w:rsidRPr="00000000">
              <w:rPr>
                <w:rtl w:val="0"/>
              </w:rPr>
            </w:r>
          </w:p>
        </w:tc>
      </w:tr>
    </w:tbl>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