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6480"/>
        <w:tblGridChange w:id="0">
          <w:tblGrid>
            <w:gridCol w:w="2865"/>
            <w:gridCol w:w="6480"/>
          </w:tblGrid>
        </w:tblGridChange>
      </w:tblGrid>
      <w:tr>
        <w:trPr>
          <w:cantSplit w:val="0"/>
          <w:trHeight w:val="60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935</w:t>
            </w:r>
          </w:p>
        </w:tc>
      </w:tr>
      <w:tr>
        <w:trPr>
          <w:cantSplit w:val="0"/>
          <w:trHeight w:val="697.1191406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limiting toxics release inventory facilities in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environmental justice communities</w:t>
            </w:r>
          </w:p>
        </w:tc>
      </w:tr>
      <w:tr>
        <w:trPr>
          <w:cantSplit w:val="0"/>
          <w:trHeight w:val="79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DuBois</w:t>
            </w:r>
            <w:r w:rsidDel="00000000" w:rsidR="00000000" w:rsidRPr="00000000">
              <w:rPr>
                <w:rtl w:val="0"/>
              </w:rPr>
            </w:r>
          </w:p>
        </w:tc>
      </w:tr>
      <w:tr>
        <w:trPr>
          <w:cantSplit w:val="0"/>
          <w:trHeight w:val="784.746093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H2914; Accompanied S427 and reported favorably to the Senate Committee on Global Warming; Recommended ought to pass; Referred to SWM where no further action was taken</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H893; sent to study by ENRA</w:t>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H789; sent to study by ENR</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30 (General Provisions Relative to State Departments, Commissions, Officers, and Employees) of MGL by adding two new sections, Section 62J and Section 62K. The first section provides definitions that pertain to Section 62K.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62K tasks the Executive Office of Energy and Environmental Affairs (EEA) with issuing recommendations to decrease the further siting or expansion of toxic release inventory (TRI) facilities within environmental justice population neighborhoods. The EEA must provide recommendations within 30 days of this bill’s enactment. Furthermore, this bill requires EEA to initiate a rule making process to establish a cap on the number of TRI facilities allowed in environmental justice population neighborhoods no later than 180 days after this bill’s enactment. </w:t>
            </w:r>
            <w:r w:rsidDel="00000000" w:rsidR="00000000" w:rsidRPr="00000000">
              <w:rPr>
                <w:rtl w:val="0"/>
              </w:rPr>
            </w:r>
          </w:p>
        </w:tc>
      </w:tr>
    </w:tbl>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