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940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 Act relative to beavers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Frost</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2015-2016: Filed as H673; Reported to study by ENRA</w:t>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H421; Reported to study by ENRA</w:t>
            </w:r>
          </w:p>
          <w:p w:rsidR="00000000" w:rsidDel="00000000" w:rsidP="00000000" w:rsidRDefault="00000000" w:rsidRPr="00000000" w14:paraId="0000000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H781; Reported to study by ENRA</w:t>
            </w:r>
          </w:p>
          <w:p w:rsidR="00000000" w:rsidDel="00000000" w:rsidP="00000000" w:rsidRDefault="00000000" w:rsidRPr="00000000" w14:paraId="0000001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H914; Reported to study by ENRA</w:t>
            </w:r>
          </w:p>
          <w:p w:rsidR="00000000" w:rsidDel="00000000" w:rsidP="00000000" w:rsidRDefault="00000000" w:rsidRPr="00000000" w14:paraId="0000001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H799; Accompanied a study order (H.4555)</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3">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4">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would repeal Section 80A (Leghold traps and certain other devices restricted; punishment) of Chapter 131 (Inland Fisheries and Game) of MGL, which currently sets restrictions and exceptions on the uses of leg hold traps and other trapping devices and also includes penalties for violating these restrictions. </w:t>
            </w:r>
          </w:p>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