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944</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funding water infrastructure and addressing economic target areas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Garballey</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S559</w:t>
            </w:r>
          </w:p>
        </w:tc>
      </w:tr>
      <w:tr>
        <w:trPr>
          <w:cantSplit w:val="0"/>
          <w:trHeight w:val="78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H920; reported favorably by ENRA accompanying S505; referred to SWM where no further action was taken.</w:t>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H803; reported favorably by ENR; referred to HWM where no further action was taken.</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color w:val="333333"/>
                <w:highlight w:val="white"/>
                <w:u w:val="single"/>
              </w:rPr>
            </w:pPr>
            <w:r w:rsidDel="00000000" w:rsidR="00000000" w:rsidRPr="00000000">
              <w:rPr>
                <w:rFonts w:ascii="Times New Roman" w:cs="Times New Roman" w:eastAsia="Times New Roman" w:hAnsi="Times New Roman"/>
                <w:b w:val="1"/>
                <w:u w:val="single"/>
                <w:rtl w:val="0"/>
              </w:rPr>
              <w:t xml:space="preserve">SUMMARY</w:t>
            </w:r>
            <w:r w:rsidDel="00000000" w:rsidR="00000000" w:rsidRPr="00000000">
              <w:rPr>
                <w:rtl w:val="0"/>
              </w:rPr>
            </w:r>
          </w:p>
          <w:p w:rsidR="00000000" w:rsidDel="00000000" w:rsidP="00000000" w:rsidRDefault="00000000" w:rsidRPr="00000000" w14:paraId="00000010">
            <w:pPr>
              <w:shd w:fill="ffffff" w:val="clear"/>
              <w:spacing w:after="240" w:befor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This bill amends Chapter 29 of the MGL by adding Section 2WWWW, establishing a Commonwealth Water Infrastructure Trust Fund. This legislation designates the Commissioner of the Department of Revenue (DOR) as the trustee of the fund, to expend funds, without further appropriation, to address the Commonwealth's water infrastructure needs. The fund shall consist of fees collected pursuant to this legislation and any interest earned. Funds remaining at the end of the fiscal year do not revert to the General Fund. </w:t>
            </w:r>
          </w:p>
          <w:p w:rsidR="00000000" w:rsidDel="00000000" w:rsidP="00000000" w:rsidRDefault="00000000" w:rsidRPr="00000000" w14:paraId="00000011">
            <w:pPr>
              <w:shd w:fill="ffffff" w:val="clear"/>
              <w:spacing w:after="240" w:befor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Municipalities </w:t>
            </w:r>
            <w:r w:rsidDel="00000000" w:rsidR="00000000" w:rsidRPr="00000000">
              <w:rPr>
                <w:rFonts w:ascii="Times New Roman" w:cs="Times New Roman" w:eastAsia="Times New Roman" w:hAnsi="Times New Roman"/>
                <w:color w:val="333333"/>
                <w:sz w:val="24"/>
                <w:szCs w:val="24"/>
                <w:highlight w:val="white"/>
                <w:rtl w:val="0"/>
              </w:rPr>
              <w:t xml:space="preserve">that charge a fee to connect to community water or sewer services shall charge an additional $250 for residential connections and an additional $1,000 for commercial or industrial connections, to be deposited into the Commonwealth Water Infrastructure Fund. </w:t>
            </w:r>
          </w:p>
          <w:p w:rsidR="00000000" w:rsidDel="00000000" w:rsidP="00000000" w:rsidRDefault="00000000" w:rsidRPr="00000000" w14:paraId="00000012">
            <w:pPr>
              <w:shd w:fill="ffffff" w:val="clear"/>
              <w:spacing w:after="240" w:befor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This legislation tasks DOR with distributing funds as follows:</w:t>
            </w:r>
          </w:p>
          <w:p w:rsidR="00000000" w:rsidDel="00000000" w:rsidP="00000000" w:rsidRDefault="00000000" w:rsidRPr="00000000" w14:paraId="00000013">
            <w:pPr>
              <w:numPr>
                <w:ilvl w:val="0"/>
                <w:numId w:val="1"/>
              </w:numPr>
              <w:shd w:fill="ffffff" w:val="clear"/>
              <w:spacing w:after="0" w:afterAutospacing="0" w:before="24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50% of funds received from a municipality for water infrastructure back to that municipality</w:t>
            </w:r>
          </w:p>
          <w:p w:rsidR="00000000" w:rsidDel="00000000" w:rsidP="00000000" w:rsidRDefault="00000000" w:rsidRPr="00000000" w14:paraId="00000014">
            <w:pPr>
              <w:numPr>
                <w:ilvl w:val="0"/>
                <w:numId w:val="1"/>
              </w:numPr>
              <w:shd w:fill="ffffff" w:val="clear"/>
              <w:spacing w:after="0" w:afterAutospacing="0" w:before="0" w:beforeAutospacing="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40% to the Massachusetts Clean Water Trust</w:t>
            </w:r>
          </w:p>
          <w:p w:rsidR="00000000" w:rsidDel="00000000" w:rsidP="00000000" w:rsidRDefault="00000000" w:rsidRPr="00000000" w14:paraId="00000015">
            <w:pPr>
              <w:numPr>
                <w:ilvl w:val="0"/>
                <w:numId w:val="1"/>
              </w:numPr>
              <w:shd w:fill="ffffff" w:val="clear"/>
              <w:spacing w:after="0" w:afterAutospacing="0" w:before="0" w:beforeAutospacing="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5% to DEP to implement an economic target area water infrastructure initiative </w:t>
            </w:r>
          </w:p>
          <w:p w:rsidR="00000000" w:rsidDel="00000000" w:rsidP="00000000" w:rsidRDefault="00000000" w:rsidRPr="00000000" w14:paraId="00000016">
            <w:pPr>
              <w:numPr>
                <w:ilvl w:val="0"/>
                <w:numId w:val="1"/>
              </w:numPr>
              <w:shd w:fill="ffffff" w:val="clear"/>
              <w:spacing w:after="240" w:before="0" w:beforeAutospacing="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5% to DOR for the enforcement of this legislation </w:t>
            </w:r>
          </w:p>
          <w:p w:rsidR="00000000" w:rsidDel="00000000" w:rsidP="00000000" w:rsidRDefault="00000000" w:rsidRPr="00000000" w14:paraId="00000017">
            <w:pPr>
              <w:shd w:fill="ffffff" w:val="clear"/>
              <w:spacing w:after="240" w:befor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Municipalities receiving funds from the Commonwealth Water Infrastructure Trust Fund are required to submit an annual report to DOR detailing water infrastructure related projects and funds the planned use of funds already disbursed and to be disbursed for future projects. The Commissioner is required to compile these reports in order to post the projects and the relevant amounts of money expended to their website. </w:t>
            </w:r>
          </w:p>
          <w:p w:rsidR="00000000" w:rsidDel="00000000" w:rsidP="00000000" w:rsidRDefault="00000000" w:rsidRPr="00000000" w14:paraId="00000018">
            <w:pPr>
              <w:shd w:fill="ffffff" w:val="clear"/>
              <w:spacing w:after="200" w:line="240" w:lineRule="auto"/>
              <w:ind w:left="0" w:firstLine="0"/>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DEP and the Executive Office of Housing and Economic Development (HED) are tasked with establishing an initiative to assist municipalities with economic target areas in addressing their water infrastructure needs. The initiative must directly engage with municipalities to strategize, coordinate and plan upgrades to their water infrastructure.  </w:t>
            </w:r>
            <w:r w:rsidDel="00000000" w:rsidR="00000000" w:rsidRPr="00000000">
              <w:rPr>
                <w:rtl w:val="0"/>
              </w:rPr>
            </w:r>
          </w:p>
          <w:p w:rsidR="00000000" w:rsidDel="00000000" w:rsidP="00000000" w:rsidRDefault="00000000" w:rsidRPr="00000000" w14:paraId="00000019">
            <w:pPr>
              <w:spacing w:after="240" w:before="240" w:lineRule="auto"/>
              <w:rPr>
                <w:rFonts w:ascii="Times New Roman" w:cs="Times New Roman" w:eastAsia="Times New Roman" w:hAnsi="Times New Roman"/>
                <w:color w:val="333333"/>
                <w:highlight w:val="white"/>
              </w:rPr>
            </w:pP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