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540.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05"/>
        <w:gridCol w:w="6735"/>
        <w:tblGridChange w:id="0">
          <w:tblGrid>
            <w:gridCol w:w="2805"/>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the public health, safety and welfare including but not limited to the drinking water supply in Plymouth Carver Sole Source Aquifer, designated under the federal Safe Drinking Water Act by the United States Environmental Protection Agency in 1990</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Representative Gaskey</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In Bristol and Plymouth counties there will be a one-year ban on the extraction of minerals, sand, and gravel for commercial sale. This includes extraction and commercial sale on land zoned for agricultural purposes.</w:t>
            </w:r>
            <w:r w:rsidDel="00000000" w:rsidR="00000000" w:rsidRPr="00000000">
              <w:rPr>
                <w:rtl w:val="0"/>
              </w:rPr>
            </w:r>
          </w:p>
        </w:tc>
      </w:tr>
    </w:tbl>
    <w:p w:rsidR="00000000" w:rsidDel="00000000" w:rsidP="00000000" w:rsidRDefault="00000000" w:rsidRPr="00000000" w14:paraId="00000013">
      <w:pPr>
        <w:ind w:left="0" w:firstLine="0"/>
        <w:rPr>
          <w:rFonts w:ascii="Times New Roman" w:cs="Times New Roman" w:eastAsia="Times New Roman" w:hAnsi="Times New Roman"/>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