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540.0" w:type="dxa"/>
        <w:jc w:val="left"/>
        <w:tblInd w:w="-1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5"/>
        <w:gridCol w:w="6735"/>
        <w:tblGridChange w:id="0">
          <w:tblGrid>
            <w:gridCol w:w="2805"/>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948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protect the public health, safety and welfare including but not limited to the drinking water supply in Plymouth Carver Sole Source Aquifer, designated under the federal Safe Drinking Water Act by the United States Environmental Protection Agency in 1990</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Representative Gaskey</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In Bristol and Plymouth counties there will be a one-year ban on the extraction of minerals, sand, and gravel for commercial sale. This includes extraction and commercial sale on land zoned for agricultural purposes.</w:t>
            </w:r>
            <w:r w:rsidDel="00000000" w:rsidR="00000000" w:rsidRPr="00000000">
              <w:rPr>
                <w:rtl w:val="0"/>
              </w:rPr>
            </w:r>
          </w:p>
        </w:tc>
      </w:tr>
    </w:tbl>
    <w:p w:rsidR="00000000" w:rsidDel="00000000" w:rsidP="00000000" w:rsidRDefault="00000000" w:rsidRPr="00000000" w14:paraId="00000013">
      <w:pPr>
        <w:ind w:left="0" w:firstLine="0"/>
        <w:rPr>
          <w:rFonts w:ascii="Times New Roman" w:cs="Times New Roman" w:eastAsia="Times New Roman" w:hAnsi="Times New Roman"/>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