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6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0"/>
        <w:gridCol w:w="6750"/>
        <w:tblGridChange w:id="0">
          <w:tblGrid>
            <w:gridCol w:w="2610"/>
            <w:gridCol w:w="675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949</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ensure safe drinking water for state funding eligibility in the Commonwealth of Massachusetts</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Gaskey</w:t>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   </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1">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seeks to ensure that</w:t>
            </w:r>
            <w:r w:rsidDel="00000000" w:rsidR="00000000" w:rsidRPr="00000000">
              <w:rPr>
                <w:rFonts w:ascii="Times New Roman" w:cs="Times New Roman" w:eastAsia="Times New Roman" w:hAnsi="Times New Roman"/>
                <w:sz w:val="24"/>
                <w:szCs w:val="24"/>
                <w:rtl w:val="0"/>
              </w:rPr>
              <w:t xml:space="preserve"> municipalities in the Commonwealth meet state-defined standards for safe drinking water in order to qualify for state funding or grants, thereby protecting public health and encouraging local governments to prioritize water quality.</w:t>
            </w:r>
          </w:p>
          <w:p w:rsidR="00000000" w:rsidDel="00000000" w:rsidP="00000000" w:rsidRDefault="00000000" w:rsidRPr="00000000" w14:paraId="00000012">
            <w:pPr>
              <w:spacing w:after="0" w:before="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3">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be eligible for state funding or grants, a municipality must provide certification from the Department of Environmental Protection (DEP) demonstrating that its public water system complies with all federal and state water quality regulations. Municipalities must also conduct water quality testing annually and submit their results to the DEP. The testing must assess lead, arsenic, nitrates, PFAS, and bacterial pathogens. Additionally, municipalities who are out of compliance with safe drinking water standards are required to submit a detailed remediation plan to the </w:t>
            </w:r>
            <w:r w:rsidDel="00000000" w:rsidR="00000000" w:rsidRPr="00000000">
              <w:rPr>
                <w:rFonts w:ascii="Times New Roman" w:cs="Times New Roman" w:eastAsia="Times New Roman" w:hAnsi="Times New Roman"/>
                <w:sz w:val="24"/>
                <w:szCs w:val="24"/>
                <w:rtl w:val="0"/>
              </w:rPr>
              <w:t xml:space="preserve">DEP</w:t>
            </w:r>
            <w:r w:rsidDel="00000000" w:rsidR="00000000" w:rsidRPr="00000000">
              <w:rPr>
                <w:rFonts w:ascii="Times New Roman" w:cs="Times New Roman" w:eastAsia="Times New Roman" w:hAnsi="Times New Roman"/>
                <w:sz w:val="24"/>
                <w:szCs w:val="24"/>
                <w:rtl w:val="0"/>
              </w:rPr>
              <w:t xml:space="preserve"> within 90 days. State funding eligibility will be suspended until the DEP certifies the municipality’s compliance.</w:t>
            </w:r>
          </w:p>
          <w:p w:rsidR="00000000" w:rsidDel="00000000" w:rsidP="00000000" w:rsidRDefault="00000000" w:rsidRPr="00000000" w14:paraId="00000014">
            <w:pPr>
              <w:spacing w:after="0" w:before="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5">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will provide technical and advisory support to municipalities seeking assistance to meet drinking water standards. Municipalities that apply for state funding or grants for water infrastructure improvements will be given priority consideration if they submit a plan for addressing deficiencies identified in water quality testing. If a municipality has an immediate public health crisis regarding water quality, the state is able to allocate emergency funding to address the issue, even if the municipality is otherwise ineligible.</w:t>
            </w:r>
          </w:p>
          <w:p w:rsidR="00000000" w:rsidDel="00000000" w:rsidP="00000000" w:rsidRDefault="00000000" w:rsidRPr="00000000" w14:paraId="00000016">
            <w:pPr>
              <w:spacing w:after="0" w:before="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7">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 will oversee compliance with the requirements of this act and will create a reporting system for municipalities to demonstrate ongoing adherence to water quality standards. If a municipality falsifies water quality reports or fails to meet reporting requirements, they will be subject to penalties, including the temporary suspension of state funding eligibility and fines.</w:t>
            </w:r>
          </w:p>
          <w:p w:rsidR="00000000" w:rsidDel="00000000" w:rsidP="00000000" w:rsidRDefault="00000000" w:rsidRPr="00000000" w14:paraId="00000018">
            <w:pPr>
              <w:shd w:fill="ffffff" w:val="clear"/>
              <w:spacing w:after="0" w:line="276"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9">
            <w:pPr>
              <w:shd w:fill="ffffff" w:val="clear"/>
              <w:spacing w:after="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DEP will publish a report annually that details the water quality status of all municipalities in the Commonwealth. This bill will take effect on January 1, 2026 and includes a severability clause which states that if any aspect of this bill is found to be invalid or unenforceable, the remaining sections will remain in effect. </w:t>
            </w:r>
            <w:r w:rsidDel="00000000" w:rsidR="00000000" w:rsidRPr="00000000">
              <w:rPr>
                <w:rtl w:val="0"/>
              </w:rPr>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highlight w:val="white"/>
              </w:rPr>
            </w:pP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