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950</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governing the use of pesticides containing the herbicide substance Glyphosate in the Commonwealth</w:t>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Gentile</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S.625, Senator Lewis (Senate counterpart)</w:t>
            </w:r>
          </w:p>
        </w:tc>
      </w:tr>
      <w:tr>
        <w:trPr>
          <w:cantSplit w:val="0"/>
          <w:trHeight w:val="228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H4413/S499; Reported favorably as redrafted by ENRA; Referred to HWM, no further action taken</w:t>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H929/S575; Reported favorably by ENRA; Referred to HWM, no further action taken </w:t>
            </w:r>
            <w:r w:rsidDel="00000000" w:rsidR="00000000" w:rsidRPr="00000000">
              <w:rPr>
                <w:rtl w:val="0"/>
              </w:rPr>
            </w:r>
          </w:p>
          <w:p w:rsidR="00000000" w:rsidDel="00000000" w:rsidP="00000000" w:rsidRDefault="00000000" w:rsidRPr="00000000" w14:paraId="0000000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H813/516; Reported favorably by ENR; Referred to HWM, no further action taken </w:t>
            </w:r>
          </w:p>
          <w:p w:rsidR="00000000" w:rsidDel="00000000" w:rsidP="00000000" w:rsidRDefault="00000000" w:rsidRPr="00000000" w14:paraId="00000010">
            <w:pPr>
              <w:spacing w:after="0" w:before="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Chapter 132B (Massachusetts Pesticide Control Act) of MGL by adding a new section, Section 6L. This section states that glyphosate and products containing glyphosate cannot be used or sold in Massachusetts. The Department of Environmental Protection (DEP) is authorized to develop regulations pertaining to this section. </w:t>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will go into effect 12 months after its passage.</w:t>
            </w:r>
            <w:r w:rsidDel="00000000" w:rsidR="00000000" w:rsidRPr="00000000">
              <w:rPr>
                <w:rtl w:val="0"/>
              </w:rPr>
            </w:r>
          </w:p>
        </w:tc>
      </w:tr>
    </w:tbl>
    <w:p w:rsidR="00000000" w:rsidDel="00000000" w:rsidP="00000000" w:rsidRDefault="00000000" w:rsidRPr="00000000" w14:paraId="00000016">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