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950</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governing the use of pesticides containing the herbicide substance Glyphosate in the Commonwealth</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Gentile</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S.625, Senator Lewis (Senate counterpart)</w:t>
            </w:r>
          </w:p>
        </w:tc>
      </w:tr>
      <w:tr>
        <w:trPr>
          <w:cantSplit w:val="0"/>
          <w:trHeight w:val="22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H4413/S499; Reported favorably as redrafted by ENRA; Referred to HWM, no further action taken</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H929/S575; Reported favorably by ENRA; Referred to HWM, no further action taken </w:t>
            </w: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H813/516; Reported favorably by ENR; Referred to HWM, no further action taken </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132B (Massachusetts Pesticide Control Act) of MGL by adding a new section, Section 6L. This section states that glyphosate and products containing glyphosate cannot be used or sold in Massachusetts. The Department of Environmental Protection (DEP) is authorized to develop regulations pertaining to this section.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will go into effect 12 months after its passage.</w:t>
            </w:r>
            <w:r w:rsidDel="00000000" w:rsidR="00000000" w:rsidRPr="00000000">
              <w:rPr>
                <w:rtl w:val="0"/>
              </w:rPr>
            </w:r>
          </w:p>
        </w:tc>
      </w:tr>
    </w:tbl>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