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 Joint Committee on Environment and Natural Resources</w:t>
      </w:r>
      <w:r w:rsidDel="00000000" w:rsidR="00000000" w:rsidRPr="00000000">
        <w:rPr>
          <w:rtl w:val="0"/>
        </w:rPr>
      </w:r>
    </w:p>
    <w:p w:rsidR="00000000" w:rsidDel="00000000" w:rsidP="00000000" w:rsidRDefault="00000000" w:rsidRPr="00000000" w14:paraId="00000002">
      <w:pPr>
        <w:spacing w:after="20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8"/>
          <w:szCs w:val="28"/>
          <w:rtl w:val="0"/>
        </w:rPr>
        <w:t xml:space="preserve">Bill Summary</w:t>
      </w:r>
      <w:r w:rsidDel="00000000" w:rsidR="00000000" w:rsidRPr="00000000">
        <w:rPr>
          <w:rFonts w:ascii="Times New Roman" w:cs="Times New Roman" w:eastAsia="Times New Roman" w:hAnsi="Times New Roman"/>
          <w:sz w:val="24"/>
          <w:szCs w:val="24"/>
          <w:rtl w:val="0"/>
        </w:rPr>
        <w:br w:type="textWrapping"/>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r w:rsidDel="00000000" w:rsidR="00000000" w:rsidRPr="00000000">
        <w:rPr>
          <w:rtl w:val="0"/>
        </w:rPr>
      </w:r>
    </w:p>
    <w:tbl>
      <w:tblPr>
        <w:tblStyle w:val="Table1"/>
        <w:tblW w:w="10188.0" w:type="dxa"/>
        <w:jc w:val="left"/>
        <w:tblLayout w:type="fixed"/>
        <w:tblLook w:val="0400"/>
      </w:tblPr>
      <w:tblGrid>
        <w:gridCol w:w="2538"/>
        <w:gridCol w:w="7650"/>
        <w:tblGridChange w:id="0">
          <w:tblGrid>
            <w:gridCol w:w="2538"/>
            <w:gridCol w:w="7650"/>
          </w:tblGrid>
        </w:tblGridChange>
      </w:tblGrid>
      <w:tr>
        <w:trPr>
          <w:cantSplit w:val="0"/>
          <w:trHeight w:val="540" w:hRule="atLeast"/>
          <w:tblHeader w:val="0"/>
        </w:trPr>
        <w:tc>
          <w:tcPr/>
          <w:p w:rsidR="00000000" w:rsidDel="00000000" w:rsidP="00000000" w:rsidRDefault="00000000" w:rsidRPr="00000000" w14:paraId="00000003">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BILL NUMBER</w:t>
            </w:r>
            <w:r w:rsidDel="00000000" w:rsidR="00000000" w:rsidRPr="00000000">
              <w:rPr>
                <w:rtl w:val="0"/>
              </w:rPr>
            </w:r>
          </w:p>
        </w:tc>
        <w:tc>
          <w:tcPr/>
          <w:p w:rsidR="00000000" w:rsidDel="00000000" w:rsidP="00000000" w:rsidRDefault="00000000" w:rsidRPr="00000000" w14:paraId="00000004">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951</w:t>
            </w:r>
          </w:p>
        </w:tc>
      </w:tr>
      <w:tr>
        <w:trPr>
          <w:cantSplit w:val="0"/>
          <w:tblHeader w:val="0"/>
        </w:trPr>
        <w:tc>
          <w:tcPr/>
          <w:p w:rsidR="00000000" w:rsidDel="00000000" w:rsidP="00000000" w:rsidRDefault="00000000" w:rsidRPr="00000000" w14:paraId="00000005">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TITLE</w:t>
            </w:r>
            <w:r w:rsidDel="00000000" w:rsidR="00000000" w:rsidRPr="00000000">
              <w:rPr>
                <w:rtl w:val="0"/>
              </w:rPr>
            </w:r>
          </w:p>
        </w:tc>
        <w:tc>
          <w:tcPr/>
          <w:p w:rsidR="00000000" w:rsidDel="00000000" w:rsidP="00000000" w:rsidRDefault="00000000" w:rsidRPr="00000000" w14:paraId="00000006">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Act to eliminate hydraulic fracturing in the Commonwealth</w:t>
            </w:r>
          </w:p>
        </w:tc>
      </w:tr>
      <w:tr>
        <w:trPr>
          <w:cantSplit w:val="0"/>
          <w:tblHeader w:val="0"/>
        </w:trPr>
        <w:tc>
          <w:tcPr/>
          <w:p w:rsidR="00000000" w:rsidDel="00000000" w:rsidP="00000000" w:rsidRDefault="00000000" w:rsidRPr="00000000" w14:paraId="00000007">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tl w:val="0"/>
              </w:rPr>
            </w:r>
          </w:p>
        </w:tc>
        <w:tc>
          <w:tcPr/>
          <w:p w:rsidR="00000000" w:rsidDel="00000000" w:rsidP="00000000" w:rsidRDefault="00000000" w:rsidRPr="00000000" w14:paraId="00000008">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Representative Gentile</w:t>
            </w:r>
          </w:p>
        </w:tc>
      </w:tr>
      <w:tr>
        <w:trPr>
          <w:cantSplit w:val="0"/>
          <w:tblHeader w:val="0"/>
        </w:trPr>
        <w:tc>
          <w:tcPr/>
          <w:p w:rsidR="00000000" w:rsidDel="00000000" w:rsidP="00000000" w:rsidRDefault="00000000" w:rsidRPr="00000000" w14:paraId="00000009">
            <w:pPr>
              <w:spacing w:after="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SIMILAR MATTERS</w:t>
            </w:r>
            <w:r w:rsidDel="00000000" w:rsidR="00000000" w:rsidRPr="00000000">
              <w:rPr>
                <w:rtl w:val="0"/>
              </w:rPr>
            </w:r>
          </w:p>
        </w:tc>
        <w:tc>
          <w:tcPr/>
          <w:p w:rsidR="00000000" w:rsidDel="00000000" w:rsidP="00000000" w:rsidRDefault="00000000" w:rsidRPr="00000000" w14:paraId="0000000A">
            <w:pPr>
              <w:spacing w:after="20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0B">
            <w:pPr>
              <w:spacing w:after="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PRIOR HISTORY</w:t>
            </w:r>
            <w:r w:rsidDel="00000000" w:rsidR="00000000" w:rsidRPr="00000000">
              <w:rPr>
                <w:rtl w:val="0"/>
              </w:rPr>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2021-2022: </w:t>
            </w:r>
            <w:r w:rsidDel="00000000" w:rsidR="00000000" w:rsidRPr="00000000">
              <w:rPr>
                <w:rFonts w:ascii="Times New Roman" w:cs="Times New Roman" w:eastAsia="Times New Roman" w:hAnsi="Times New Roman"/>
                <w:sz w:val="24"/>
                <w:szCs w:val="24"/>
                <w:highlight w:val="white"/>
                <w:rtl w:val="0"/>
              </w:rPr>
              <w:t xml:space="preserve">Filed as S605; reported favorably by ENRA; referred to SWM; No further action was taken </w:t>
            </w:r>
            <w:r w:rsidDel="00000000" w:rsidR="00000000" w:rsidRPr="00000000">
              <w:rPr>
                <w:rtl w:val="0"/>
              </w:rPr>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H815; Accompanied S558 favorably and referred to SWM; No further action was taken</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gridSpan w:val="2"/>
          </w:tcPr>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after="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SUMMARY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This bill amends </w:t>
            </w:r>
            <w:r w:rsidDel="00000000" w:rsidR="00000000" w:rsidRPr="00000000">
              <w:rPr>
                <w:rFonts w:ascii="Times New Roman" w:cs="Times New Roman" w:eastAsia="Times New Roman" w:hAnsi="Times New Roman"/>
                <w:color w:val="333333"/>
                <w:sz w:val="24"/>
                <w:szCs w:val="24"/>
                <w:highlight w:val="white"/>
                <w:rtl w:val="0"/>
              </w:rPr>
              <w:t xml:space="preserve">Section 26A of chapter 21 of Massachusetts General Law to </w:t>
            </w:r>
            <w:r w:rsidDel="00000000" w:rsidR="00000000" w:rsidRPr="00000000">
              <w:rPr>
                <w:rFonts w:ascii="Times New Roman" w:cs="Times New Roman" w:eastAsia="Times New Roman" w:hAnsi="Times New Roman"/>
                <w:sz w:val="24"/>
                <w:szCs w:val="24"/>
                <w:highlight w:val="white"/>
                <w:rtl w:val="0"/>
              </w:rPr>
              <w:t xml:space="preserve">prohibit individuals from engaging in fracking, as well as from collecting, storing, treating, or disposing of fracking-related waste, including fluids and byproducts.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bill would expand existing environmental protections by explicitly including hydraulic fracturing fluid under regulated effluents and strengthens the state’s authority to enforce restrictions on drilling, waste disposal, and mining to protect water quality and natural resources. Definitions of key terms such as "fluid," "oil," "gas," and "hydraulic fracturing" are provided to clarify the scope of the ban and grounds for enforcement.</w:t>
            </w: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after="200" w:line="240" w:lineRule="auto"/>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16">
      <w:pPr>
        <w:spacing w:after="200" w:line="276" w:lineRule="auto"/>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