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415"/>
        <w:gridCol w:w="6945"/>
        <w:tblGridChange w:id="0">
          <w:tblGrid>
            <w:gridCol w:w="2415"/>
            <w:gridCol w:w="694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952</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watershed forest protection</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Gentile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53.906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40" w:line="240" w:lineRule="auto"/>
              <w:rPr>
                <w:rFonts w:ascii="Times New Roman" w:cs="Times New Roman" w:eastAsia="Times New Roman" w:hAnsi="Times New Roman"/>
                <w:sz w:val="24"/>
                <w:szCs w:val="24"/>
              </w:rPr>
            </w:pPr>
            <w:commentRangeStart w:id="0"/>
            <w:r w:rsidDel="00000000" w:rsidR="00000000" w:rsidRPr="00000000">
              <w:rPr>
                <w:rFonts w:ascii="Times New Roman" w:cs="Times New Roman" w:eastAsia="Times New Roman" w:hAnsi="Times New Roman"/>
                <w:sz w:val="24"/>
                <w:szCs w:val="24"/>
                <w:rtl w:val="0"/>
              </w:rPr>
              <w:t xml:space="preserve">New file; No previous history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92A½ of Massachusetts General Law regarding water supply protection and land conservation. It restructures the Division of Water Supply Protection to oversee watershed lands and oversee the Quabbin Reservoir’s historic areas and public access. All watershed lands are newly classified as either ‘</w:t>
            </w:r>
            <w:r w:rsidDel="00000000" w:rsidR="00000000" w:rsidRPr="00000000">
              <w:rPr>
                <w:rFonts w:ascii="Times New Roman" w:cs="Times New Roman" w:eastAsia="Times New Roman" w:hAnsi="Times New Roman"/>
                <w:sz w:val="24"/>
                <w:szCs w:val="24"/>
                <w:rtl w:val="0"/>
              </w:rPr>
              <w:t xml:space="preserve">Parks’ or ‘Reserves’, each with strict management rules.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Parks would allow for recreation and limited vegetation management for safety and maintenance, but prohibit commercial logging or resource extraction. Reserves would be more strictly protected, allowing minimal human intervention only when necessary to preserve ecological integrity and public health.</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Reserves Scientific Advisory Council is established to oversee Reserve designations, advise on management, and report biennially to the governor. Public hearings are required for major activities within Reserves.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mandates five-year watershed management plans that address forest protection, water quality, climate impacts, and recreation.  It bans most new industrial infrastructure on watershed lands, with limited exceptions.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acob Newman" w:id="0" w:date="2025-09-16T17:25:17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H952 and H953 were historically one bill, and split this session - Ravi with Rep. Gentile explained a little bit why if you're curious.  It was referred to HWM in the 192nd session, and went to study last year after ENR and Ag split.  Let me know if I should include any relevant details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