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415"/>
        <w:gridCol w:w="6945"/>
        <w:tblGridChange w:id="0">
          <w:tblGrid>
            <w:gridCol w:w="2415"/>
            <w:gridCol w:w="694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953</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forest protection</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Gentile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53.906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132 of Massachusetts General Law to introduce changes to the management, designation, and protection of public forest lands across Massachusetts.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legislation, a new </w:t>
            </w:r>
            <w:r w:rsidDel="00000000" w:rsidR="00000000" w:rsidRPr="00000000">
              <w:rPr>
                <w:rFonts w:ascii="Times New Roman" w:cs="Times New Roman" w:eastAsia="Times New Roman" w:hAnsi="Times New Roman"/>
                <w:sz w:val="24"/>
                <w:szCs w:val="24"/>
                <w:rtl w:val="0"/>
              </w:rPr>
              <w:t xml:space="preserve">Reserves Scientific Advisory Council</w:t>
            </w:r>
            <w:r w:rsidDel="00000000" w:rsidR="00000000" w:rsidRPr="00000000">
              <w:rPr>
                <w:rFonts w:ascii="Times New Roman" w:cs="Times New Roman" w:eastAsia="Times New Roman" w:hAnsi="Times New Roman"/>
                <w:sz w:val="24"/>
                <w:szCs w:val="24"/>
                <w:rtl w:val="0"/>
              </w:rPr>
              <w:t xml:space="preserve"> will be created under the Executive Office of Energy and Environmental Affairs. This council will include eight scientific experts from various environmental and academic organizations, tasked with overseeing the designation and ecological management of Reserves, suggesting additional land acquisitions, advising on policy, and submitting biennial reports to the Governor. The council's primary role is to ensure that Reserves remain in a natural state, with minimal human intervention allowed only when necessary for ecological preservation or public safety.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legislation further mandates the development of </w:t>
            </w:r>
            <w:r w:rsidDel="00000000" w:rsidR="00000000" w:rsidRPr="00000000">
              <w:rPr>
                <w:rFonts w:ascii="Times New Roman" w:cs="Times New Roman" w:eastAsia="Times New Roman" w:hAnsi="Times New Roman"/>
                <w:sz w:val="24"/>
                <w:szCs w:val="24"/>
                <w:rtl w:val="0"/>
              </w:rPr>
              <w:t xml:space="preserve">coordinated forest management guidelines</w:t>
            </w:r>
            <w:r w:rsidDel="00000000" w:rsidR="00000000" w:rsidRPr="00000000">
              <w:rPr>
                <w:rFonts w:ascii="Times New Roman" w:cs="Times New Roman" w:eastAsia="Times New Roman" w:hAnsi="Times New Roman"/>
                <w:sz w:val="24"/>
                <w:szCs w:val="24"/>
                <w:rtl w:val="0"/>
              </w:rPr>
              <w:t xml:space="preserve"> for both public and private lands. These guidelines will be jointly established by the Directors of State Parks and Recreation and the Division of Fisheries and Wildlife to integrate sustainable forestry practices, improve operational coordination, and ensure that recreational use is balanced with natural resource protection.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Division is prohibited from outsourcing core services or entering interagency agreements for work that its own employees can perform. </w:t>
            </w:r>
            <w:r w:rsidDel="00000000" w:rsidR="00000000" w:rsidRPr="00000000">
              <w:rPr>
                <w:rFonts w:ascii="Times New Roman" w:cs="Times New Roman" w:eastAsia="Times New Roman" w:hAnsi="Times New Roman"/>
                <w:sz w:val="24"/>
                <w:szCs w:val="24"/>
                <w:rtl w:val="0"/>
              </w:rPr>
              <w:t xml:space="preserve">Consultants may only be hired when specialized expertise is required </w:t>
            </w:r>
            <w:r w:rsidDel="00000000" w:rsidR="00000000" w:rsidRPr="00000000">
              <w:rPr>
                <w:rFonts w:ascii="Times New Roman" w:cs="Times New Roman" w:eastAsia="Times New Roman" w:hAnsi="Times New Roman"/>
                <w:sz w:val="24"/>
                <w:szCs w:val="24"/>
                <w:rtl w:val="0"/>
              </w:rPr>
              <w:t xml:space="preserve">and not available in-house, thereby reinforcing the role of state staff in carrying out essential conservation duties.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Restrictions are placed on the</w:t>
            </w:r>
            <w:r w:rsidDel="00000000" w:rsidR="00000000" w:rsidRPr="00000000">
              <w:rPr>
                <w:rFonts w:ascii="Times New Roman" w:cs="Times New Roman" w:eastAsia="Times New Roman" w:hAnsi="Times New Roman"/>
                <w:sz w:val="24"/>
                <w:szCs w:val="24"/>
                <w:rtl w:val="0"/>
              </w:rPr>
              <w:t xml:space="preserve"> installation of industrial infrastructure</w:t>
            </w:r>
            <w:r w:rsidDel="00000000" w:rsidR="00000000" w:rsidRPr="00000000">
              <w:rPr>
                <w:rFonts w:ascii="Times New Roman" w:cs="Times New Roman" w:eastAsia="Times New Roman" w:hAnsi="Times New Roman"/>
                <w:sz w:val="24"/>
                <w:szCs w:val="24"/>
                <w:rtl w:val="0"/>
              </w:rPr>
              <w:t xml:space="preserve"> within public lands.  New commercial solar arrays, pipelines, wind turbines, and communication towers are generally prohibited. However, exceptions are allowed for solar installations serving public facilities if they cause minimal environmental impact and for upgrading existing communication hardware, such as on fire towers.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further restricts the </w:t>
            </w:r>
            <w:r w:rsidDel="00000000" w:rsidR="00000000" w:rsidRPr="00000000">
              <w:rPr>
                <w:rFonts w:ascii="Times New Roman" w:cs="Times New Roman" w:eastAsia="Times New Roman" w:hAnsi="Times New Roman"/>
                <w:sz w:val="24"/>
                <w:szCs w:val="24"/>
                <w:rtl w:val="0"/>
              </w:rPr>
              <w:t xml:space="preserve">Bureau of Forestry</w:t>
            </w:r>
            <w:r w:rsidDel="00000000" w:rsidR="00000000" w:rsidRPr="00000000">
              <w:rPr>
                <w:rFonts w:ascii="Times New Roman" w:cs="Times New Roman" w:eastAsia="Times New Roman" w:hAnsi="Times New Roman"/>
                <w:sz w:val="24"/>
                <w:szCs w:val="24"/>
                <w:rtl w:val="0"/>
              </w:rPr>
              <w:t xml:space="preserve"> from all pesticide or herbicide use to situations where the Massachusetts Department of Public Health determines a clear threat to public safety.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public lands under the state's care are to be officially designated as either </w:t>
            </w:r>
            <w:r w:rsidDel="00000000" w:rsidR="00000000" w:rsidRPr="00000000">
              <w:rPr>
                <w:rFonts w:ascii="Times New Roman" w:cs="Times New Roman" w:eastAsia="Times New Roman" w:hAnsi="Times New Roman"/>
                <w:sz w:val="24"/>
                <w:szCs w:val="24"/>
                <w:rtl w:val="0"/>
              </w:rPr>
              <w:t xml:space="preserve">Parks</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Reserves </w:t>
            </w:r>
            <w:r w:rsidDel="00000000" w:rsidR="00000000" w:rsidRPr="00000000">
              <w:rPr>
                <w:rFonts w:ascii="Times New Roman" w:cs="Times New Roman" w:eastAsia="Times New Roman" w:hAnsi="Times New Roman"/>
                <w:sz w:val="24"/>
                <w:szCs w:val="24"/>
                <w:rtl w:val="0"/>
              </w:rPr>
              <w:t xml:space="preserve">and must be preserved in their natural state whenever practicable. Commercial activities are strictly limited to those essential for the quiet enjoyment of the public.  The sale, removal, or destruction of natural resources, including timber, is prohibited unless explicitly allowed under existing conservation laws.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also includes </w:t>
            </w:r>
            <w:r w:rsidDel="00000000" w:rsidR="00000000" w:rsidRPr="00000000">
              <w:rPr>
                <w:rFonts w:ascii="Times New Roman" w:cs="Times New Roman" w:eastAsia="Times New Roman" w:hAnsi="Times New Roman"/>
                <w:sz w:val="24"/>
                <w:szCs w:val="24"/>
                <w:rtl w:val="0"/>
              </w:rPr>
              <w:t xml:space="preserve">forest policy objectives,</w:t>
            </w:r>
            <w:r w:rsidDel="00000000" w:rsidR="00000000" w:rsidRPr="00000000">
              <w:rPr>
                <w:rFonts w:ascii="Times New Roman" w:cs="Times New Roman" w:eastAsia="Times New Roman" w:hAnsi="Times New Roman"/>
                <w:sz w:val="24"/>
                <w:szCs w:val="24"/>
                <w:rtl w:val="0"/>
              </w:rPr>
              <w:t xml:space="preserve"> emphasizing the importance of maintaining healthy forest ecosystems for public welfare. These objectives include water conservation, flood prevention, wildlife habitat protection, air and water quality improvement, and maximizing long-term carbon sequestration. Sustainable forestry practices must also promote native biodiversity and be carried out with cooperation from private landowners and other stakeholders.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legislation </w:t>
            </w:r>
            <w:r w:rsidDel="00000000" w:rsidR="00000000" w:rsidRPr="00000000">
              <w:rPr>
                <w:rFonts w:ascii="Times New Roman" w:cs="Times New Roman" w:eastAsia="Times New Roman" w:hAnsi="Times New Roman"/>
                <w:sz w:val="24"/>
                <w:szCs w:val="24"/>
                <w:rtl w:val="0"/>
              </w:rPr>
              <w:t xml:space="preserve">removes existing language promoting biomass energy</w:t>
            </w:r>
            <w:r w:rsidDel="00000000" w:rsidR="00000000" w:rsidRPr="00000000">
              <w:rPr>
                <w:rFonts w:ascii="Times New Roman" w:cs="Times New Roman" w:eastAsia="Times New Roman" w:hAnsi="Times New Roman"/>
                <w:sz w:val="24"/>
                <w:szCs w:val="24"/>
                <w:rtl w:val="0"/>
              </w:rPr>
              <w:t xml:space="preserve"> as a renewable resource, reflecting environmental and scientific concerns about its impact on air quality and forest health.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terms </w:t>
            </w:r>
            <w:r w:rsidDel="00000000" w:rsidR="00000000" w:rsidRPr="00000000">
              <w:rPr>
                <w:rFonts w:ascii="Times New Roman" w:cs="Times New Roman" w:eastAsia="Times New Roman" w:hAnsi="Times New Roman"/>
                <w:sz w:val="24"/>
                <w:szCs w:val="24"/>
                <w:rtl w:val="0"/>
              </w:rPr>
              <w:t xml:space="preserve">"Park"</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"Reserve" </w:t>
            </w:r>
            <w:r w:rsidDel="00000000" w:rsidR="00000000" w:rsidRPr="00000000">
              <w:rPr>
                <w:rFonts w:ascii="Times New Roman" w:cs="Times New Roman" w:eastAsia="Times New Roman" w:hAnsi="Times New Roman"/>
                <w:sz w:val="24"/>
                <w:szCs w:val="24"/>
                <w:rtl w:val="0"/>
              </w:rPr>
              <w:t xml:space="preserve">are defined in law. Parks are areas focused on recreation, where limited vegetation management may be conducted for public safety, invasive species removal, trail maintenance, or scenic preservation. Reserves are areas intended for strict ecological protection, where natural processes prevail and human intervention is minimal. Any vegetation or land management in Reserves is tightly regulated and only permitted under proven ecological or public safety necessity.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