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954</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empowering vulnerable municipalities to protect residents and the environment from harmful pesticides</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                   Representative Gentile</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r w:rsidDel="00000000" w:rsidR="00000000" w:rsidRPr="00000000">
              <w:rPr>
                <w:rtl w:val="0"/>
              </w:rPr>
            </w:r>
          </w:p>
        </w:tc>
      </w:tr>
      <w:tr>
        <w:trPr>
          <w:cantSplit w:val="0"/>
          <w:trHeight w:val="228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H776/S447; Reported to study by ENRA</w:t>
            </w:r>
          </w:p>
          <w:p w:rsidR="00000000" w:rsidDel="00000000" w:rsidP="00000000" w:rsidRDefault="00000000" w:rsidRPr="00000000" w14:paraId="0000000E">
            <w:pPr>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H910; Reported to study by ENRA</w:t>
            </w:r>
          </w:p>
          <w:p w:rsidR="00000000" w:rsidDel="00000000" w:rsidP="00000000" w:rsidRDefault="00000000" w:rsidRPr="00000000" w14:paraId="0000000F">
            <w:pPr>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H814; Reported favorably by ENR; Referred to HWM, no further action taken </w:t>
            </w:r>
          </w:p>
          <w:p w:rsidR="00000000" w:rsidDel="00000000" w:rsidP="00000000" w:rsidRDefault="00000000" w:rsidRPr="00000000" w14:paraId="00000010">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973.7304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132B (Massachusetts Pesticide Control Act) of MGL by replacing the second sentence in Section 1, paragraph two, with new language. This new paragraph allows certain Massachusetts cities and towns to adopt stricter local rules on pesticide use and disposal. </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Specifically, municipalities that either (1) contain a sole source aquifer designated by the U.S. Environmental Protection Agency or the Commonwealth, or (2) have a majority of residential drinking water users served by private wells, may establish more stringent pesticide standards.</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session, this bill has a slightly different title and only applies to certain municipalities (last session it applied to all municipalities).</w:t>
            </w:r>
            <w:r w:rsidDel="00000000" w:rsidR="00000000" w:rsidRPr="00000000">
              <w:rPr>
                <w:rtl w:val="0"/>
              </w:rPr>
            </w:r>
          </w:p>
        </w:tc>
      </w:tr>
    </w:tbl>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