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solid waste byproduct management and control</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Representatives Giannino &amp; Turco</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4067.6440429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Chapter 150A and Chapter 150A1/2 of Chapter 111 of Massachusetts General Law is amended to enhance environmental protections and public health oversight related to waste management facilities in Massachusetts, with a strong focus on the WIN Waste Innovations Saugus Ash Landfill. It empowers local boards of health in communities located within a half-mile of such facilities to create and enforce rules regulating excessive noise, smoke, and offensive odors. These boards are granted the authority to issue orders, citations, and penalties for violations.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law also revises state environmental standards to more explicitly include frequent smoke and strong odors as indicators of poor air quality. DEP is required to update relevant regulations within six months to align with these new standards. Additionally, language is amended to emphasize “excessive” odors in environmental impact assessments.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 provisions require new considerations for waste facility siting, particularly the potential effects on Environmental Justice Populations—communities with lower income, higher minority populations, or limited English proficiency. Climate change risks, such as sea level rise and storm surges, and impacts on Areas of Critical Environmental Concern (ACECs) must also be taken into account. No new landfill or ash disposal site can be built in or adjacent to an ACEC.</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major element of the bill is the mandated closure of the Saugus Ash Landfill. The facility must cease operations and begin final capping by the earliest of: December 31, 2030; when specific sections are filled; or after the disposal of 450,000 tons of material starting in 2026. Finally, the DEP is prohibited from approving any new burner or process that would increase emissions or ash output at the Saugus site.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Together, these measures aim to reduce environmental harm, strengthen community health protections, and prevent further expansion of waste facilities in vulnerable or ecologically sensitive areas.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