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955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solid waste byproduct management and control</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Representatives Giannino &amp; Turco</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4067.64404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Chapter 150A and Chapter 150A1/2 of Chapter 111 of Massachusetts General Law is amended to enhance environmental protections and public health oversight related to waste management facilities in Massachusetts, with a strong focus on the WIN Waste Innovations Saugus Ash Landfill. It empowers local boards of health in communities located within a half-mile of such facilities to create and enforce rules regulating excessive noise, smoke, and offensive odors. These boards are granted the authority to issue orders, citations, and penalties for violations.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law also revises state environmental standards to more explicitly include frequent smoke and strong odors as indicators of poor air quality. DEP is required to update relevant regulations within six months to align with these new standards. Additionally, language is amended to emphasize “excessive” odors in environmental impact assessments.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Further provisions require new considerations for waste facility siting, particularly the potential effects on Environmental Justice Populations—communities with lower income, higher minority populations, or limited English proficiency. Climate change risks, such as sea level rise and storm surges, and impacts on Areas of Critical Environmental Concern (ACECs) must also be taken into account. No new landfill or ash disposal site can be built in or adjacent to an ACEC.</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major element of the bill is the mandated closure of the Saugus Ash Landfill. The facility must cease operations and begin final capping by the earliest of: December 31, 2030; when specific sections are filled; or after the disposal of 450,000 tons of material starting in 2026. Finally, the DEP is prohibited from approving any new burner or process that would increase emissions or ash output at the Saugus site.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Together, these measures aim to reduce environmental harm, strengthen community health protections, and prevent further expansion of waste facilities in vulnerable or ecologically sensitive areas.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