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958</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promote natural carbon sequestration</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Giannino</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S604 by Senator Fernandes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H819; Reported favorably by ENR and referred to HWM; No further action was taken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directs the EEA Secretary to, in consultation with DEP and the Office of Coastal Zone Management, as designated in Massachusetts General Law </w:t>
            </w:r>
            <w:r w:rsidDel="00000000" w:rsidR="00000000" w:rsidRPr="00000000">
              <w:rPr>
                <w:rFonts w:ascii="Times New Roman" w:cs="Times New Roman" w:eastAsia="Times New Roman" w:hAnsi="Times New Roman"/>
                <w:color w:val="333333"/>
                <w:sz w:val="24"/>
                <w:szCs w:val="24"/>
                <w:highlight w:val="white"/>
                <w:rtl w:val="0"/>
              </w:rPr>
              <w:t xml:space="preserve">Chapter 21A, Section 4A, </w:t>
            </w:r>
            <w:r w:rsidDel="00000000" w:rsidR="00000000" w:rsidRPr="00000000">
              <w:rPr>
                <w:rFonts w:ascii="Times New Roman" w:cs="Times New Roman" w:eastAsia="Times New Roman" w:hAnsi="Times New Roman"/>
                <w:sz w:val="24"/>
                <w:szCs w:val="24"/>
                <w:rtl w:val="0"/>
              </w:rPr>
              <w:t xml:space="preserve">develop a quantified net positive statewide carbon sequestration and storage goal for natural and working lands.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sequestration capacity of salt marshes, sea grasses, and waterways shall also be considered in the development of this goal, which must also be in agreement with the statewide greenhouse gas emissions goals established by EEA.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5">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