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after="0" w:afterAutospacing="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numPr>
          <w:ilvl w:val="0"/>
          <w:numId w:val="1"/>
        </w:numPr>
        <w:spacing w:after="240" w:before="0" w:beforeAutospacing="0" w:line="276" w:lineRule="auto"/>
        <w:jc w:val="center"/>
        <w:rPr>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color w:val="000000"/>
                <w:sz w:val="24"/>
                <w:szCs w:val="24"/>
              </w:rPr>
            </w:pPr>
            <w:bookmarkStart w:colFirst="0" w:colLast="0" w:name="_h4e7iht91zgg" w:id="0"/>
            <w:bookmarkEnd w:id="0"/>
            <w:r w:rsidDel="00000000" w:rsidR="00000000" w:rsidRPr="00000000">
              <w:rPr>
                <w:rFonts w:ascii="Times New Roman" w:cs="Times New Roman" w:eastAsia="Times New Roman" w:hAnsi="Times New Roman"/>
                <w:color w:val="000000"/>
                <w:sz w:val="24"/>
                <w:szCs w:val="24"/>
                <w:rtl w:val="0"/>
              </w:rPr>
              <w:t xml:space="preserve">An Act relative to toxic air contaminant reduction</w:t>
            </w:r>
          </w:p>
          <w:p w:rsidR="00000000" w:rsidDel="00000000" w:rsidP="00000000" w:rsidRDefault="00000000" w:rsidRPr="00000000" w14:paraId="00000007">
            <w:pPr>
              <w:pStyle w:val="Heading2"/>
              <w:keepNext w:val="0"/>
              <w:keepLines w:val="0"/>
              <w:shd w:fill="ffffff" w:val="clear"/>
              <w:spacing w:after="160" w:before="300" w:line="264" w:lineRule="auto"/>
              <w:rPr>
                <w:rFonts w:ascii="Times New Roman" w:cs="Times New Roman" w:eastAsia="Times New Roman" w:hAnsi="Times New Roman"/>
                <w:color w:val="000000"/>
                <w:sz w:val="24"/>
                <w:szCs w:val="24"/>
              </w:rPr>
            </w:pPr>
            <w:bookmarkStart w:colFirst="0" w:colLast="0" w:name="_26n5dg9ish0n" w:id="1"/>
            <w:bookmarkEnd w:id="1"/>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Giannino</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0">
            <w:pP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bill amends Section 1 of Chapter 111 (Public Health) of MGL to add five new definitions; </w:t>
            </w:r>
            <w:r w:rsidDel="00000000" w:rsidR="00000000" w:rsidRPr="00000000">
              <w:rPr>
                <w:rFonts w:ascii="Times New Roman" w:cs="Times New Roman" w:eastAsia="Times New Roman" w:hAnsi="Times New Roman"/>
                <w:sz w:val="24"/>
                <w:szCs w:val="24"/>
                <w:highlight w:val="white"/>
                <w:rtl w:val="0"/>
              </w:rPr>
              <w:t xml:space="preserve">Continuous automated sampling system, continuous emissions monitoring system, dioxin/furan, municipal solid waste incinerator, and hospital, medical or infectious waste. Definitions are outlined in Section 1 of this bill’s text.</w:t>
            </w:r>
          </w:p>
          <w:p w:rsidR="00000000" w:rsidDel="00000000" w:rsidP="00000000" w:rsidRDefault="00000000" w:rsidRPr="00000000" w14:paraId="00000011">
            <w:pP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2 of this bill amends Section 150A (Solid waste disposal facilities; maintenance and operation; applications for site assignment) of Chapter 111 of MGL by adding new language which outlines the requirements that owners or operators of municipal solid waste incinerators must follow to monitor and sample their emissions. </w:t>
            </w:r>
          </w:p>
          <w:p w:rsidR="00000000" w:rsidDel="00000000" w:rsidP="00000000" w:rsidRDefault="00000000" w:rsidRPr="00000000" w14:paraId="00000012">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Ow</w:t>
            </w:r>
            <w:r w:rsidDel="00000000" w:rsidR="00000000" w:rsidRPr="00000000">
              <w:rPr>
                <w:rFonts w:ascii="Times New Roman" w:cs="Times New Roman" w:eastAsia="Times New Roman" w:hAnsi="Times New Roman"/>
                <w:sz w:val="24"/>
                <w:szCs w:val="24"/>
                <w:rtl w:val="0"/>
              </w:rPr>
              <w:t xml:space="preserve">ners or operators must develop a plan to continuously monitor or sample emissions of carbon monoxide, sulfur dioxide, nitrogen oxides, opacity, PCB, dioxin/furan, cadmium, lead, mercury, arsenic, total chromium, manganese, nickel, selenium and zinc.</w:t>
            </w:r>
          </w:p>
          <w:p w:rsidR="00000000" w:rsidDel="00000000" w:rsidP="00000000" w:rsidRDefault="00000000" w:rsidRPr="00000000" w14:paraId="00000013">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feasible, the plan must incorporate a continuous emissions monitoring system to monitor the air contaminants listed above. If not technologically feasible, the plan must incorporate the use of a continuous automated sampling system to sample the air contaminants listed above. </w:t>
            </w:r>
          </w:p>
          <w:p w:rsidR="00000000" w:rsidDel="00000000" w:rsidP="00000000" w:rsidRDefault="00000000" w:rsidRPr="00000000" w14:paraId="00000014">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owner or operator must detail in this plan how they will conduct continuous monitoring or sampling for a twelve month period. Any data must be made available to the Department of Public Health (DPH) and the public. All plans need to be submitted to the DPH wit</w:t>
            </w:r>
            <w:r w:rsidDel="00000000" w:rsidR="00000000" w:rsidRPr="00000000">
              <w:rPr>
                <w:rFonts w:ascii="Times New Roman" w:cs="Times New Roman" w:eastAsia="Times New Roman" w:hAnsi="Times New Roman"/>
                <w:sz w:val="24"/>
                <w:szCs w:val="24"/>
                <w:rtl w:val="0"/>
              </w:rPr>
              <w:t xml:space="preserve">hin three months of this bill’s enactment. </w:t>
            </w:r>
          </w:p>
          <w:p w:rsidR="00000000" w:rsidDel="00000000" w:rsidP="00000000" w:rsidRDefault="00000000" w:rsidRPr="00000000" w14:paraId="00000015">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plan is approved, the owner or operator of a municipal solid waste incinerator must implement the plan within three months. The DPH can extend this deadline if they deem it necessary. </w:t>
            </w:r>
          </w:p>
          <w:p w:rsidR="00000000" w:rsidDel="00000000" w:rsidP="00000000" w:rsidRDefault="00000000" w:rsidRPr="00000000" w14:paraId="00000016">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municipal solid waste incinerators are barred from burning more than 18,000 tons of hospital, medical, or infectious waste in a single calendar year. </w:t>
            </w:r>
          </w:p>
          <w:p w:rsidR="00000000" w:rsidDel="00000000" w:rsidP="00000000" w:rsidRDefault="00000000" w:rsidRPr="00000000" w14:paraId="00000017">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DPH must take reasonable steps to ensure that any relevant permits issued under the federal operating permit program are modified to adhere to Section 2 of this legislation within one year of this bill’s passage.</w:t>
            </w:r>
          </w:p>
          <w:p w:rsidR="00000000" w:rsidDel="00000000" w:rsidP="00000000" w:rsidRDefault="00000000" w:rsidRPr="00000000" w14:paraId="00000018">
            <w:pP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DPH will submit a report within one year of this bill’s passage detailing the progress made in implementing Section 2 of this bill. This report must include any data received by the department. After the twelve month monitoring or sampling period ends, the DPH will submit a report detailing the results of the continuous monitoring or sampling of emissions. </w:t>
            </w: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 w:lineRule="auto"/>
      <w:ind w:left="0" w:right="0" w:firstLine="0"/>
      <w:jc w:val="left"/>
    </w:pPr>
    <w:rPr>
      <w:rFonts w:ascii="Play" w:cs="Play" w:eastAsia="Play" w:hAnsi="Play"/>
      <w:b w:val="0"/>
      <w:i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Play" w:cs="Play" w:eastAsia="Play" w:hAnsi="Play"/>
      <w:b w:val="0"/>
      <w:i w:val="0"/>
      <w:smallCaps w:val="0"/>
      <w:strike w:val="0"/>
      <w:color w:val="0f4761"/>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6" w:lineRule="auto"/>
      <w:ind w:left="0" w:right="0" w:firstLine="0"/>
      <w:jc w:val="left"/>
    </w:pPr>
    <w:rPr>
      <w:rFonts w:ascii="Aptos" w:cs="Aptos" w:eastAsia="Aptos" w:hAnsi="Aptos"/>
      <w:b w:val="0"/>
      <w:i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i w:val="1"/>
      <w:smallCaps w:val="0"/>
      <w:strike w:val="0"/>
      <w:color w:val="0f4761"/>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6" w:lineRule="auto"/>
      <w:ind w:left="0" w:right="0" w:firstLine="0"/>
      <w:jc w:val="left"/>
    </w:pPr>
    <w:rPr>
      <w:rFonts w:ascii="Aptos" w:cs="Aptos" w:eastAsia="Aptos" w:hAnsi="Aptos"/>
      <w:b w:val="0"/>
      <w:i w:val="0"/>
      <w:smallCaps w:val="0"/>
      <w:strike w:val="0"/>
      <w:color w:val="0f4761"/>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6" w:lineRule="auto"/>
      <w:ind w:left="0" w:right="0" w:firstLine="0"/>
      <w:jc w:val="left"/>
    </w:pPr>
    <w:rPr>
      <w:rFonts w:ascii="Aptos" w:cs="Aptos" w:eastAsia="Aptos" w:hAnsi="Aptos"/>
      <w:b w:val="0"/>
      <w:i w:val="1"/>
      <w:smallCaps w:val="0"/>
      <w:strike w:val="0"/>
      <w:color w:val="595959"/>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i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