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7.5110456553753"/>
        <w:gridCol w:w="6892.488954344624"/>
        <w:tblGridChange w:id="0">
          <w:tblGrid>
            <w:gridCol w:w="2467.5110456553753"/>
            <w:gridCol w:w="6892.48895434462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960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requiring the sealing of containers transporting solid waste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Representatives Gonz</w:t>
            </w:r>
            <w:r w:rsidDel="00000000" w:rsidR="00000000" w:rsidRPr="00000000">
              <w:rPr>
                <w:color w:val="333333"/>
                <w:sz w:val="21"/>
                <w:szCs w:val="21"/>
                <w:shd w:fill="f4f4f4" w:val="clear"/>
                <w:rtl w:val="0"/>
              </w:rPr>
              <w:t xml:space="preserve">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lez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4067.64404296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H820; Accompanied a study order, H4668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 municipality, agency, individual, firm, corporation or an entity acting on behalf of an individual, firm or corporation shall not transport solid waste originating in the commonwealth on a vehicle, train, barge, ship, or scow unless the solid waste is covered by a hard top or biodegradable seal that hardens after application. 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DEP, in consultation with the DOT, shall promulgate regulations for the implementation, administration and enforcement of this proposed law. 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