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961</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Office of the State Climatologist</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Gordon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2021-2022: Filed as H4062; reported favorably by ENRA; referred to House Steering, Policy and Scheduling where it was Placed in the Orders of the Day for the next sitting for a second reading; No further action taken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2023-2024: Filed as H822; Accompanied a study order, H4668</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legislation establishes an independent Office of the State Climatologist within the University of Massachusetts system, overseen by a state climatologist appointed by the Secretary of EEA. The office will collect and analyze climate data, conduct and support climate research, coordinate with key federal climate agencies, and provide public education on climate issues. It will also advise state and local governments on climate-related matters affecting economic and scientific planning. The state climatologist will serve a renewable five-year term, and the office will be funded by the executive office.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