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962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the use of chlorpyrifos in the Commonwealth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Gordon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H936; ENRA sent to study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H821; Accompanied a study order (H.4668)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amends Chapter 132B (Massachusetts Pesticide Control Act) of MGL by adding a new section, Section 6L. This section prohibits the sale and distribution of products containing chlorpyrifos for use on agricultural land in the Commonwealth, except with a license to conduct research or permit issued by the state.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Massachusetts Department of Agricultural Resources (MDAR)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is authorized to develop regulations pertaining to this section. 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Additionally, this bill establishes a task force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study the impact of using chlorpyrifos in non-agricultural settings in Massachusetts. The specific makeup of task force members is outlined in Section 2 of the bill.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