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973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Title V approval</w:t>
            </w: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Jones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4067.6440429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Filed as H832; Accompanied a study order H4735</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Massachusetts General Laws is updated to include a revised Section 13 of Chapter 21A, requiring that the commissioner of DEP shall adopt regulations to be known as the State Environmental Code. This code governs a range of environmental and public health issues, including standards for sewage disposal systems. Violations of the code are subject to strict penalties—up to $25,000 per day per violation, imprisonment for up to one year, or both criminal and civil penalties of up to $25,000 per day.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the design of subsurface sewage disposal systems handling 2,000 gallons per day or less, plans may be prepared by either a registered sanitarian or a professional engineer licensed in Massachusetts. Systems exceeding this threshold must be designed exclusively by a licensed professional engineer.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 exempts certain residential real estate transfers from requiring septic system inspections. These exemptions apply when the transfer is:</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Between current spouses</w:t>
              <w:br w:type="textWrapping"/>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Between parents and their children</w:t>
              <w:br w:type="textWrapping"/>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Between full siblings</w:t>
              <w:br w:type="textWrapping"/>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a trust, provided a beneficiary is a first-degree relative of the grantor</w:t>
              <w:br w:type="textWrapping"/>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systems installed within the past three years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Gungsuh" w:cs="Gungsuh" w:eastAsia="Gungsuh" w:hAnsi="Gungsuh"/>
                <w:sz w:val="24"/>
                <w:szCs w:val="24"/>
                <w:highlight w:val="white"/>
                <w:rtl w:val="0"/>
              </w:rPr>
              <w:t xml:space="preserve">Additionally, plans for repairing small domestic sewage systems (≤2,000 gallons/day) can be submitted by the property owner or their agent, as long as the plans are reviewed and approved by the local health authority and a licensed sanitarian.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section also requires the DEP Commissioner to evaluate and minimize paperwork burdens for individuals, small businesses, contractors, and government agencies. This includes streamlining forms and information-sharing procedures to ensure efficient, purposeful data collection and reduce redundant documentation.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Local boards of health are primarily responsible for enforcing the code. However, if they fail to act within a reasonable time, the DEP has authority to intervene and enforce the code directly. Enforcement matters fall under the jurisdiction of the Superior Court, and any legal actions must be prioritized for a speedy trial.</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section is designed to protect public health and the environment while promoting efficient regulatory compliance and reducing unnecessary administrative burdens.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67.6440429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rPr>
                <w:rFonts w:ascii="Times New Roman" w:cs="Times New Roman" w:eastAsia="Times New Roman" w:hAnsi="Times New Roman"/>
                <w:b w:val="1"/>
                <w:u w:val="single"/>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