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975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Newbury to adopt a bylaw restricting the use of second generation anticoagulant rodenticides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Kassner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H4741; Reported favorably and sent to House Steering, Policy, and Scheduling; Placed in Orders of the Day, rules suspended and read second; Ordered to a third reading, no further action taken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Newbury to adopt a local bylaw restricting the use of second-generation anticoagulant rodenticides on private property. 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