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975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Newbury to adopt a bylaw restricting the use of second generation anticoagulant rodenticides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Kassner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H4741; Reported favorably and sent to House Steering, Policy, and Scheduling; Placed in Orders of the Day, rules suspended and read second; Ordered to a third reading, no further action taken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Newbury to adopt a local bylaw restricting the use of second-generation anticoagulant rodenticides on private property.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