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976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protect water supplies and the environment</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Kassner</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7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H3550; reported favorably by ENR and referred to HWM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b w:val="1"/>
                <w:color w:val="333333"/>
                <w:highlight w:val="white"/>
                <w:u w:val="single"/>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tl w:val="0"/>
              </w:rPr>
            </w:r>
          </w:p>
          <w:p w:rsidR="00000000" w:rsidDel="00000000" w:rsidP="00000000" w:rsidRDefault="00000000" w:rsidRPr="00000000" w14:paraId="00000010">
            <w:pPr>
              <w:shd w:fill="ffffff" w:val="clear"/>
              <w:spacing w:after="200" w:line="240" w:lineRule="auto"/>
              <w:ind w:left="0" w:firstLine="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legislation amends Section 2 of Chapter 21G, the Massachusetts Water Management Act, by adding a new definition of "safe yield" and adding the definition of "stress basin." </w:t>
            </w:r>
          </w:p>
          <w:p w:rsidR="00000000" w:rsidDel="00000000" w:rsidP="00000000" w:rsidRDefault="00000000" w:rsidRPr="00000000" w14:paraId="00000011">
            <w:pPr>
              <w:shd w:fill="ffffff" w:val="clear"/>
              <w:spacing w:after="200" w:line="240" w:lineRule="auto"/>
              <w:ind w:left="0" w:firstLine="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Act is further amended by requiring DEP to re-calculate safe yield for each basin in the state, based on seasonal supply in the summer months, and taking into account the existence of reservoir storage. DEP is also required to re-calculate safe yield for each of the state's sub-basins, using stream flow as calculated by the US Geological Survey, at a rate determined by the department but no longer than every 10 years. </w:t>
            </w:r>
          </w:p>
          <w:p w:rsidR="00000000" w:rsidDel="00000000" w:rsidP="00000000" w:rsidRDefault="00000000" w:rsidRPr="00000000" w14:paraId="00000012">
            <w:pPr>
              <w:shd w:fill="ffffff" w:val="clear"/>
              <w:spacing w:after="200" w:line="240" w:lineRule="auto"/>
              <w:ind w:left="0" w:firstLine="0"/>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3">
            <w:pPr>
              <w:shd w:fill="ffffff" w:val="clear"/>
              <w:spacing w:after="200" w:line="240" w:lineRule="auto"/>
              <w:ind w:left="0" w:firstLine="0"/>
              <w:rPr>
                <w:rFonts w:ascii="Times New Roman" w:cs="Times New Roman" w:eastAsia="Times New Roman" w:hAnsi="Times New Roman"/>
                <w:color w:val="333333"/>
                <w:sz w:val="20"/>
                <w:szCs w:val="20"/>
                <w:highlight w:val="white"/>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color w:val="333333"/>
                <w:highlight w:val="white"/>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