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Joint Committee on Environment and Natural Resources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sz w:val="28"/>
          <w:szCs w:val="28"/>
          <w:rtl w:val="0"/>
        </w:rPr>
        <w:t xml:space="preserve">Bill Summary</w:t>
        <w:br w:type="textWrapping"/>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rtl w:val="0"/>
        </w:rPr>
        <w:t xml:space="preserve">__________________________________________________________________</w:t>
      </w:r>
    </w:p>
    <w:tbl>
      <w:tblPr>
        <w:tblStyle w:val="Table1"/>
        <w:tblW w:w="9359.999999999998"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67.5110456553753"/>
        <w:gridCol w:w="6892.488954344624"/>
        <w:tblGridChange w:id="0">
          <w:tblGrid>
            <w:gridCol w:w="2467.5110456553753"/>
            <w:gridCol w:w="6892.488954344624"/>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BILL NUMBER</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House, No. 976</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5">
            <w:pPr>
              <w:spacing w:after="240" w:before="24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TITLE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6">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 Act to protect water supplies and the environment</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7">
            <w:pPr>
              <w:spacing w:after="240" w:before="24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SPONSORS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8">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Representative Kassner</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9">
            <w:pPr>
              <w:spacing w:after="240" w:before="24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SIMILAR MATTERS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A">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None</w:t>
            </w:r>
          </w:p>
        </w:tc>
      </w:tr>
      <w:tr>
        <w:trPr>
          <w:cantSplit w:val="0"/>
          <w:trHeight w:val="78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B">
            <w:pPr>
              <w:spacing w:after="240" w:before="24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PRIOR HISTORY</w:t>
            </w:r>
          </w:p>
          <w:p w:rsidR="00000000" w:rsidDel="00000000" w:rsidP="00000000" w:rsidRDefault="00000000" w:rsidRPr="00000000" w14:paraId="0000000C">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2023-2024: Filed as H3550; reported favorably by ENR and referred to HWM where no further action was taken.</w:t>
            </w:r>
            <w:r w:rsidDel="00000000" w:rsidR="00000000" w:rsidRPr="00000000">
              <w:rPr>
                <w:rtl w:val="0"/>
              </w:rPr>
            </w:r>
          </w:p>
        </w:tc>
      </w:tr>
      <w:tr>
        <w:trPr>
          <w:cantSplit w:val="0"/>
          <w:trHeight w:val="3960" w:hRule="atLeast"/>
          <w:tblHeader w:val="0"/>
        </w:trPr>
        <w:tc>
          <w:tcPr>
            <w:gridSpan w:val="2"/>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00E">
            <w:pPr>
              <w:spacing w:after="240" w:before="240" w:lineRule="auto"/>
              <w:rPr>
                <w:rFonts w:ascii="Times New Roman" w:cs="Times New Roman" w:eastAsia="Times New Roman" w:hAnsi="Times New Roman"/>
                <w:b w:val="1"/>
                <w:u w:val="single"/>
              </w:rPr>
            </w:pPr>
            <w:r w:rsidDel="00000000" w:rsidR="00000000" w:rsidRPr="00000000">
              <w:rPr>
                <w:rtl w:val="0"/>
              </w:rPr>
            </w:r>
          </w:p>
          <w:p w:rsidR="00000000" w:rsidDel="00000000" w:rsidP="00000000" w:rsidRDefault="00000000" w:rsidRPr="00000000" w14:paraId="0000000F">
            <w:pPr>
              <w:spacing w:after="240" w:before="240" w:lineRule="auto"/>
              <w:rPr>
                <w:rFonts w:ascii="Times New Roman" w:cs="Times New Roman" w:eastAsia="Times New Roman" w:hAnsi="Times New Roman"/>
                <w:b w:val="1"/>
                <w:color w:val="333333"/>
                <w:highlight w:val="white"/>
                <w:u w:val="single"/>
              </w:rPr>
            </w:pPr>
            <w:r w:rsidDel="00000000" w:rsidR="00000000" w:rsidRPr="00000000">
              <w:rPr>
                <w:rFonts w:ascii="Times New Roman" w:cs="Times New Roman" w:eastAsia="Times New Roman" w:hAnsi="Times New Roman"/>
                <w:b w:val="1"/>
                <w:u w:val="single"/>
                <w:rtl w:val="0"/>
              </w:rPr>
              <w:t xml:space="preserve">SUMMARY</w:t>
            </w:r>
            <w:r w:rsidDel="00000000" w:rsidR="00000000" w:rsidRPr="00000000">
              <w:rPr>
                <w:rtl w:val="0"/>
              </w:rPr>
            </w:r>
          </w:p>
          <w:p w:rsidR="00000000" w:rsidDel="00000000" w:rsidP="00000000" w:rsidRDefault="00000000" w:rsidRPr="00000000" w14:paraId="00000010">
            <w:pPr>
              <w:shd w:fill="ffffff" w:val="clear"/>
              <w:spacing w:after="200" w:line="240" w:lineRule="auto"/>
              <w:ind w:left="0" w:firstLine="0"/>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This legislation amends Section 2 of Chapter 21G, the Massachusetts Water Management Act, by adding a new definition of "safe yield" and adding the definition of "stress basin." </w:t>
            </w:r>
          </w:p>
          <w:p w:rsidR="00000000" w:rsidDel="00000000" w:rsidP="00000000" w:rsidRDefault="00000000" w:rsidRPr="00000000" w14:paraId="00000011">
            <w:pPr>
              <w:shd w:fill="ffffff" w:val="clear"/>
              <w:spacing w:after="200" w:line="240" w:lineRule="auto"/>
              <w:ind w:left="0" w:firstLine="0"/>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The Act is further amended by requiring DEP to re-calculate safe yield for each basin in the state, based on seasonal supply in the summer months, and taking into account the existence of reservoir storage. DEP is also required to re-calculate safe yield for each of the state's sub-basins, using stream flow as calculated by the US Geological Survey, at a rate determined by the department but no longer than every 10 years. </w:t>
            </w:r>
          </w:p>
          <w:p w:rsidR="00000000" w:rsidDel="00000000" w:rsidP="00000000" w:rsidRDefault="00000000" w:rsidRPr="00000000" w14:paraId="00000012">
            <w:pPr>
              <w:shd w:fill="ffffff" w:val="clear"/>
              <w:spacing w:after="200" w:line="240" w:lineRule="auto"/>
              <w:ind w:left="0" w:firstLine="0"/>
              <w:rPr>
                <w:rFonts w:ascii="Times New Roman" w:cs="Times New Roman" w:eastAsia="Times New Roman" w:hAnsi="Times New Roman"/>
                <w:color w:val="333333"/>
                <w:highlight w:val="white"/>
              </w:rPr>
            </w:pPr>
            <w:r w:rsidDel="00000000" w:rsidR="00000000" w:rsidRPr="00000000">
              <w:rPr>
                <w:rtl w:val="0"/>
              </w:rPr>
            </w:r>
          </w:p>
          <w:p w:rsidR="00000000" w:rsidDel="00000000" w:rsidP="00000000" w:rsidRDefault="00000000" w:rsidRPr="00000000" w14:paraId="00000013">
            <w:pPr>
              <w:shd w:fill="ffffff" w:val="clear"/>
              <w:spacing w:after="200" w:line="240" w:lineRule="auto"/>
              <w:ind w:left="0" w:firstLine="0"/>
              <w:rPr>
                <w:rFonts w:ascii="Times New Roman" w:cs="Times New Roman" w:eastAsia="Times New Roman" w:hAnsi="Times New Roman"/>
                <w:color w:val="333333"/>
                <w:sz w:val="20"/>
                <w:szCs w:val="20"/>
                <w:highlight w:val="white"/>
              </w:rPr>
            </w:pPr>
            <w:r w:rsidDel="00000000" w:rsidR="00000000" w:rsidRPr="00000000">
              <w:rPr>
                <w:rtl w:val="0"/>
              </w:rPr>
            </w:r>
          </w:p>
          <w:p w:rsidR="00000000" w:rsidDel="00000000" w:rsidP="00000000" w:rsidRDefault="00000000" w:rsidRPr="00000000" w14:paraId="00000014">
            <w:pPr>
              <w:spacing w:after="240" w:before="240" w:lineRule="auto"/>
              <w:rPr>
                <w:rFonts w:ascii="Times New Roman" w:cs="Times New Roman" w:eastAsia="Times New Roman" w:hAnsi="Times New Roman"/>
                <w:color w:val="333333"/>
                <w:highlight w:val="white"/>
              </w:rPr>
            </w:pPr>
            <w:r w:rsidDel="00000000" w:rsidR="00000000" w:rsidRPr="00000000">
              <w:rPr>
                <w:rtl w:val="0"/>
              </w:rPr>
            </w:r>
          </w:p>
        </w:tc>
      </w:tr>
    </w:tbl>
    <w:p w:rsidR="00000000" w:rsidDel="00000000" w:rsidP="00000000" w:rsidRDefault="00000000" w:rsidRPr="00000000" w14:paraId="00000016">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