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6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50"/>
        <w:tblGridChange w:id="0">
          <w:tblGrid>
            <w:gridCol w:w="2610"/>
            <w:gridCol w:w="675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977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data collection on below threshold wells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8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Kassner</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5579.2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b w:val="1"/>
                <w:sz w:val="10"/>
                <w:szCs w:val="10"/>
                <w:u w:val="single"/>
              </w:rPr>
            </w:pPr>
            <w:r w:rsidDel="00000000" w:rsidR="00000000" w:rsidRPr="00000000">
              <w:rPr>
                <w:rtl w:val="0"/>
              </w:rPr>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bill amends Section 20 of Chapter 21G of MGL (</w:t>
            </w:r>
            <w:r w:rsidDel="00000000" w:rsidR="00000000" w:rsidRPr="00000000">
              <w:rPr>
                <w:rFonts w:ascii="Times New Roman" w:cs="Times New Roman" w:eastAsia="Times New Roman" w:hAnsi="Times New Roman"/>
                <w:sz w:val="24"/>
                <w:szCs w:val="24"/>
                <w:highlight w:val="white"/>
                <w:rtl w:val="0"/>
              </w:rPr>
              <w:t xml:space="preserve">Water Management Act; P</w:t>
            </w:r>
            <w:r w:rsidDel="00000000" w:rsidR="00000000" w:rsidRPr="00000000">
              <w:rPr>
                <w:rFonts w:ascii="Times New Roman" w:cs="Times New Roman" w:eastAsia="Times New Roman" w:hAnsi="Times New Roman"/>
                <w:sz w:val="24"/>
                <w:szCs w:val="24"/>
                <w:rtl w:val="0"/>
              </w:rPr>
              <w:t xml:space="preserve">ersons engaged in business of digging or drilling wells; certification; reports) and states that local boards of health and other permitting bodies that monitor the local permitting of wells will provide an annual report to the Department of Environmental Protection (DEP) outlining the below-threshold of wells permitted to the DEP.</w:t>
            </w:r>
            <w:r w:rsidDel="00000000" w:rsidR="00000000" w:rsidRPr="00000000">
              <w:rPr>
                <w:rFonts w:ascii="Times New Roman" w:cs="Times New Roman" w:eastAsia="Times New Roman" w:hAnsi="Times New Roman"/>
                <w:sz w:val="24"/>
                <w:szCs w:val="24"/>
                <w:rtl w:val="0"/>
              </w:rPr>
              <w:t xml:space="preserve"> The report will detail the location and address of the wells, their primary use (</w:t>
            </w:r>
            <w:r w:rsidDel="00000000" w:rsidR="00000000" w:rsidRPr="00000000">
              <w:rPr>
                <w:rFonts w:ascii="Times New Roman" w:cs="Times New Roman" w:eastAsia="Times New Roman" w:hAnsi="Times New Roman"/>
                <w:sz w:val="24"/>
                <w:szCs w:val="24"/>
                <w:highlight w:val="white"/>
                <w:rtl w:val="0"/>
              </w:rPr>
              <w:t xml:space="preserve">i.e., residential, irrigation, commercial, farming), and the year the permits were issued. </w:t>
            </w:r>
          </w:p>
          <w:p w:rsidR="00000000" w:rsidDel="00000000" w:rsidP="00000000" w:rsidRDefault="00000000" w:rsidRPr="00000000" w14:paraId="00000013">
            <w:pPr>
              <w:spacing w:after="0" w:before="0" w:lineRule="auto"/>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DEP will use this data to estimate withdrawals from below-threshold wells at a sub-basin scale. These estimates will be included in estimates of water withdrawals by basin and considered when DEP is issuing water withdrawal permits. </w:t>
            </w:r>
          </w:p>
          <w:p w:rsidR="00000000" w:rsidDel="00000000" w:rsidP="00000000" w:rsidRDefault="00000000" w:rsidRPr="00000000" w14:paraId="00000015">
            <w:pPr>
              <w:spacing w:after="0" w:before="0" w:lineRule="auto"/>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boards of health or other appropriate local permitting authorities will implement water conservation measures for these below-threshold wells during drought, consistent with the municipality’s current drought conditions and water use restrictions or in identified flow depleted basins.</w:t>
            </w:r>
          </w:p>
          <w:p w:rsidR="00000000" w:rsidDel="00000000" w:rsidP="00000000" w:rsidRDefault="00000000" w:rsidRPr="00000000" w14:paraId="00000017">
            <w:pPr>
              <w:spacing w:after="0" w:before="0" w:lineRule="auto"/>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Additionally, this bill amends Chapter 21G Section 4 of MGL (Water Management Act; Withdrawal volume threshold) to change the withdrawal volume threshold to twenty thousand gallons per day from one hundred thousand gallons per day. </w: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