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No. 978</w:t>
            </w:r>
          </w:p>
        </w:tc>
      </w:tr>
      <w:tr>
        <w:trPr>
          <w:cantSplit w:val="0"/>
          <w:trHeight w:val="7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Act to protect open space, historical resources, and community housing from coastal threats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Kearney of Scituate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S.648, Sen. O’Connor</w:t>
            </w:r>
          </w:p>
        </w:tc>
      </w:tr>
      <w:tr>
        <w:trPr>
          <w:cantSplit w:val="0"/>
          <w:trHeight w:val="22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2017-2018: Filed as H403; Reported to study by ENRA</w:t>
            </w:r>
          </w:p>
          <w:p w:rsidR="00000000" w:rsidDel="00000000" w:rsidP="00000000" w:rsidRDefault="00000000" w:rsidRPr="00000000" w14:paraId="0000000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2019-2020: Filed as H817; Reported to study H5073 by ENRA</w:t>
            </w:r>
          </w:p>
          <w:p w:rsidR="00000000" w:rsidDel="00000000" w:rsidP="00000000" w:rsidRDefault="00000000" w:rsidRPr="00000000" w14:paraId="0000000E">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2021-2022: Filed as H950; Reported to study H5041 by ENRA</w:t>
            </w:r>
          </w:p>
          <w:p w:rsidR="00000000" w:rsidDel="00000000" w:rsidP="00000000" w:rsidRDefault="00000000" w:rsidRPr="00000000" w14:paraId="0000000F">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2023-2024: filed as H838; Accompanied a study order, H4668, and referred to the committee on Joint Rules; Discharged to House Rules where no further action was taken.</w:t>
            </w:r>
          </w:p>
        </w:tc>
      </w:tr>
      <w:tr>
        <w:trPr>
          <w:cantSplit w:val="0"/>
          <w:trHeight w:val="273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legislation amends Section 2 of Chapter 44B of Massachusetts General Law to change the definition of ‘preservation’ to the “protection of personal or real property from injury, harm or destruction, but not limited to the construction, alteration, or rehabilitation of beaches, dunes, seawalls, and other coastal infrastructure for the purpose of protecting open space, historical resources, or community housing from flooding, sea-level rise, and storm surge.”</w:t>
            </w:r>
          </w:p>
        </w:tc>
      </w:tr>
    </w:tbl>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