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45.0" w:type="dxa"/>
        <w:jc w:val="left"/>
        <w:tblInd w:w="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175"/>
        <w:gridCol w:w="7170"/>
        <w:tblGridChange w:id="0">
          <w:tblGrid>
            <w:gridCol w:w="2175"/>
            <w:gridCol w:w="717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979</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a marine special activity license program</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Kearney</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6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H3955; sent to study by ENRA</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H841; accompanied a study order, H4735</w:t>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legislation amends Chapter 130 of the General Laws by adding a new Section 107 requiring the Division of Marine Fisheries to grant special activity licenses for oceanic scientific research. Applications for licenses are to be reviewed by the Director of DMF or a designated representative, using criteria specified in the legislation to approve or deny applications.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