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983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crumbling concrete foundations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Kilcoyne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S580 by Senator Moore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Massachusetts General Law is amended in multiple areas to address the presence of pyrrhotite and framboidal pyrite in residential concrete foundations across the state. This legislation mandates the Board of Registration of Home Inspectors to inform prospective buyers or lessees about potential risks and review inspection records for newly built homes. MassDOT, in coordination with the state geologist, is required to establish testing standards and maintain records on concrete aggregate sources for 30 years. A Crumbling Concrete Assistance Fund is created to provide financial support for homeowners needing foundation repairs, funded by state appropriations, federal contributions, and penalties on insurers who denied claims related to defective concrete. Municipalities must also offer tax abatements to affected homeowners based on certified damage assessments. Concrete producers are further required to report detailed mix data, and inspectors must retain these records for homeowner access. Permit fees for foundation replacement are waived upon proof of contamination. Additionally, the legislation enables homeowners to sue responsible parties for property damage and imposes long-term liability on violators. Regulatory implementation is required within one year.</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