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DB701D" w14:textId="77777777" w:rsidR="002A08E6" w:rsidRPr="00AA02D6" w:rsidRDefault="00000000">
      <w:pPr>
        <w:spacing w:before="240" w:after="240"/>
        <w:jc w:val="center"/>
        <w:rPr>
          <w:rFonts w:ascii="Times New Roman" w:hAnsi="Times New Roman" w:cs="Times New Roman"/>
          <w:b/>
          <w:sz w:val="28"/>
          <w:szCs w:val="28"/>
        </w:rPr>
      </w:pPr>
      <w:r w:rsidRPr="00AA02D6">
        <w:rPr>
          <w:rFonts w:ascii="Times New Roman" w:hAnsi="Times New Roman" w:cs="Times New Roman"/>
          <w:b/>
          <w:sz w:val="28"/>
          <w:szCs w:val="28"/>
        </w:rPr>
        <w:t>Joint Committee on Environment and Natural Resources</w:t>
      </w:r>
    </w:p>
    <w:p w14:paraId="4568FFF9" w14:textId="77777777" w:rsidR="002A08E6" w:rsidRPr="00AA02D6" w:rsidRDefault="00000000">
      <w:pPr>
        <w:spacing w:before="240" w:after="240"/>
        <w:jc w:val="center"/>
        <w:rPr>
          <w:rFonts w:ascii="Times New Roman" w:hAnsi="Times New Roman" w:cs="Times New Roman"/>
          <w:b/>
        </w:rPr>
      </w:pPr>
      <w:r w:rsidRPr="00AA02D6">
        <w:rPr>
          <w:rFonts w:ascii="Times New Roman" w:hAnsi="Times New Roman" w:cs="Times New Roman"/>
          <w:b/>
          <w:sz w:val="28"/>
          <w:szCs w:val="28"/>
        </w:rPr>
        <w:t>Bill Summary</w:t>
      </w:r>
      <w:r w:rsidRPr="00AA02D6">
        <w:rPr>
          <w:rFonts w:ascii="Times New Roman" w:hAnsi="Times New Roman" w:cs="Times New Roman"/>
          <w:b/>
          <w:sz w:val="28"/>
          <w:szCs w:val="28"/>
        </w:rPr>
        <w:br/>
      </w:r>
      <w:r w:rsidRPr="00AA02D6">
        <w:rPr>
          <w:rFonts w:ascii="Times New Roman" w:hAnsi="Times New Roman" w:cs="Times New Roman"/>
        </w:rPr>
        <w:t xml:space="preserve"> </w:t>
      </w:r>
      <w:r w:rsidRPr="00AA02D6">
        <w:rPr>
          <w:rFonts w:ascii="Times New Roman" w:hAnsi="Times New Roman" w:cs="Times New Roman"/>
          <w:b/>
        </w:rPr>
        <w:t>__________________________________________________________________</w:t>
      </w:r>
    </w:p>
    <w:tbl>
      <w:tblPr>
        <w:tblStyle w:val="a"/>
        <w:tblW w:w="9480" w:type="dxa"/>
        <w:tblInd w:w="15" w:type="dxa"/>
        <w:tblBorders>
          <w:top w:val="nil"/>
          <w:left w:val="nil"/>
          <w:bottom w:val="nil"/>
          <w:right w:val="nil"/>
          <w:insideH w:val="nil"/>
          <w:insideV w:val="nil"/>
        </w:tblBorders>
        <w:tblLayout w:type="fixed"/>
        <w:tblLook w:val="0600" w:firstRow="0" w:lastRow="0" w:firstColumn="0" w:lastColumn="0" w:noHBand="1" w:noVBand="1"/>
      </w:tblPr>
      <w:tblGrid>
        <w:gridCol w:w="2445"/>
        <w:gridCol w:w="7035"/>
      </w:tblGrid>
      <w:tr w:rsidR="002A08E6" w:rsidRPr="00AA02D6" w14:paraId="4DF46791" w14:textId="77777777">
        <w:trPr>
          <w:trHeight w:val="540"/>
        </w:trPr>
        <w:tc>
          <w:tcPr>
            <w:tcW w:w="2445" w:type="dxa"/>
            <w:tcBorders>
              <w:top w:val="nil"/>
              <w:left w:val="nil"/>
              <w:bottom w:val="nil"/>
              <w:right w:val="nil"/>
            </w:tcBorders>
            <w:tcMar>
              <w:top w:w="0" w:type="dxa"/>
              <w:left w:w="100" w:type="dxa"/>
              <w:bottom w:w="0" w:type="dxa"/>
              <w:right w:w="100" w:type="dxa"/>
            </w:tcMar>
          </w:tcPr>
          <w:p w14:paraId="6830BB76" w14:textId="77777777" w:rsidR="002A08E6" w:rsidRPr="00AA02D6" w:rsidRDefault="00000000">
            <w:pPr>
              <w:spacing w:before="240" w:after="240"/>
              <w:rPr>
                <w:rFonts w:ascii="Times New Roman" w:hAnsi="Times New Roman" w:cs="Times New Roman"/>
                <w:b/>
                <w:u w:val="single"/>
              </w:rPr>
            </w:pPr>
            <w:r w:rsidRPr="00AA02D6">
              <w:rPr>
                <w:rFonts w:ascii="Times New Roman" w:hAnsi="Times New Roman" w:cs="Times New Roman"/>
                <w:b/>
                <w:u w:val="single"/>
              </w:rPr>
              <w:t>BILL NUMBER</w:t>
            </w:r>
          </w:p>
        </w:tc>
        <w:tc>
          <w:tcPr>
            <w:tcW w:w="7035" w:type="dxa"/>
            <w:tcBorders>
              <w:top w:val="nil"/>
              <w:left w:val="nil"/>
              <w:bottom w:val="nil"/>
              <w:right w:val="nil"/>
            </w:tcBorders>
            <w:tcMar>
              <w:top w:w="0" w:type="dxa"/>
              <w:left w:w="100" w:type="dxa"/>
              <w:bottom w:w="0" w:type="dxa"/>
              <w:right w:w="100" w:type="dxa"/>
            </w:tcMar>
          </w:tcPr>
          <w:p w14:paraId="30948D10" w14:textId="77777777" w:rsidR="002A08E6" w:rsidRPr="00AA02D6" w:rsidRDefault="00000000">
            <w:pPr>
              <w:spacing w:before="240" w:after="240"/>
              <w:rPr>
                <w:rFonts w:ascii="Times New Roman" w:hAnsi="Times New Roman" w:cs="Times New Roman"/>
              </w:rPr>
            </w:pPr>
            <w:r w:rsidRPr="00AA02D6">
              <w:rPr>
                <w:rFonts w:ascii="Times New Roman" w:hAnsi="Times New Roman" w:cs="Times New Roman"/>
              </w:rPr>
              <w:t xml:space="preserve"> House, No. 984</w:t>
            </w:r>
          </w:p>
        </w:tc>
      </w:tr>
      <w:tr w:rsidR="002A08E6" w:rsidRPr="00AA02D6" w14:paraId="4A962FE8" w14:textId="77777777">
        <w:trPr>
          <w:trHeight w:val="827"/>
        </w:trPr>
        <w:tc>
          <w:tcPr>
            <w:tcW w:w="2445" w:type="dxa"/>
            <w:tcBorders>
              <w:top w:val="nil"/>
              <w:left w:val="nil"/>
              <w:bottom w:val="nil"/>
              <w:right w:val="nil"/>
            </w:tcBorders>
            <w:tcMar>
              <w:top w:w="0" w:type="dxa"/>
              <w:left w:w="100" w:type="dxa"/>
              <w:bottom w:w="0" w:type="dxa"/>
              <w:right w:w="100" w:type="dxa"/>
            </w:tcMar>
          </w:tcPr>
          <w:p w14:paraId="34360DD4" w14:textId="77777777" w:rsidR="002A08E6" w:rsidRPr="00AA02D6" w:rsidRDefault="00000000">
            <w:pPr>
              <w:spacing w:before="240" w:after="240"/>
              <w:rPr>
                <w:rFonts w:ascii="Times New Roman" w:hAnsi="Times New Roman" w:cs="Times New Roman"/>
                <w:b/>
                <w:u w:val="single"/>
              </w:rPr>
            </w:pPr>
            <w:r w:rsidRPr="00AA02D6">
              <w:rPr>
                <w:rFonts w:ascii="Times New Roman" w:hAnsi="Times New Roman" w:cs="Times New Roman"/>
                <w:b/>
                <w:u w:val="single"/>
              </w:rPr>
              <w:t>TITLE</w:t>
            </w:r>
          </w:p>
        </w:tc>
        <w:tc>
          <w:tcPr>
            <w:tcW w:w="7035" w:type="dxa"/>
            <w:tcBorders>
              <w:top w:val="nil"/>
              <w:left w:val="nil"/>
              <w:bottom w:val="nil"/>
              <w:right w:val="nil"/>
            </w:tcBorders>
            <w:tcMar>
              <w:top w:w="0" w:type="dxa"/>
              <w:left w:w="100" w:type="dxa"/>
              <w:bottom w:w="0" w:type="dxa"/>
              <w:right w:w="100" w:type="dxa"/>
            </w:tcMar>
          </w:tcPr>
          <w:p w14:paraId="18BD43ED" w14:textId="77777777" w:rsidR="002A08E6" w:rsidRPr="00AA02D6" w:rsidRDefault="002A08E6">
            <w:pPr>
              <w:rPr>
                <w:rFonts w:ascii="Times New Roman" w:hAnsi="Times New Roman" w:cs="Times New Roman"/>
              </w:rPr>
            </w:pPr>
          </w:p>
          <w:p w14:paraId="2FE3A0A2" w14:textId="77777777" w:rsidR="002A08E6" w:rsidRPr="00AA02D6" w:rsidRDefault="00000000">
            <w:pPr>
              <w:rPr>
                <w:rFonts w:ascii="Times New Roman" w:hAnsi="Times New Roman" w:cs="Times New Roman"/>
              </w:rPr>
            </w:pPr>
            <w:r w:rsidRPr="00AA02D6">
              <w:rPr>
                <w:rFonts w:ascii="Times New Roman" w:hAnsi="Times New Roman" w:cs="Times New Roman"/>
              </w:rPr>
              <w:t>An Act relative to water flow in the Central Plymouth County Water District</w:t>
            </w:r>
          </w:p>
        </w:tc>
      </w:tr>
      <w:tr w:rsidR="002A08E6" w:rsidRPr="00AA02D6" w14:paraId="0F025D57" w14:textId="77777777">
        <w:trPr>
          <w:trHeight w:val="1050"/>
        </w:trPr>
        <w:tc>
          <w:tcPr>
            <w:tcW w:w="9480" w:type="dxa"/>
            <w:gridSpan w:val="2"/>
            <w:tcBorders>
              <w:top w:val="nil"/>
              <w:left w:val="nil"/>
              <w:bottom w:val="nil"/>
              <w:right w:val="nil"/>
            </w:tcBorders>
            <w:tcMar>
              <w:top w:w="0" w:type="dxa"/>
              <w:left w:w="100" w:type="dxa"/>
              <w:bottom w:w="0" w:type="dxa"/>
              <w:right w:w="100" w:type="dxa"/>
            </w:tcMar>
          </w:tcPr>
          <w:p w14:paraId="7EB8B4F0" w14:textId="77777777" w:rsidR="002A08E6" w:rsidRPr="00AA02D6" w:rsidRDefault="00000000">
            <w:pPr>
              <w:spacing w:before="240" w:after="240"/>
              <w:rPr>
                <w:rFonts w:ascii="Times New Roman" w:hAnsi="Times New Roman" w:cs="Times New Roman"/>
                <w:b/>
                <w:u w:val="single"/>
              </w:rPr>
            </w:pPr>
            <w:r w:rsidRPr="00AA02D6">
              <w:rPr>
                <w:rFonts w:ascii="Times New Roman" w:hAnsi="Times New Roman" w:cs="Times New Roman"/>
                <w:b/>
                <w:u w:val="single"/>
              </w:rPr>
              <w:t>SPONSORS</w:t>
            </w:r>
            <w:r w:rsidRPr="00AA02D6">
              <w:rPr>
                <w:rFonts w:ascii="Times New Roman" w:hAnsi="Times New Roman" w:cs="Times New Roman"/>
              </w:rPr>
              <w:t xml:space="preserve">                    Representatives </w:t>
            </w:r>
            <w:proofErr w:type="spellStart"/>
            <w:r w:rsidRPr="00AA02D6">
              <w:rPr>
                <w:rFonts w:ascii="Times New Roman" w:hAnsi="Times New Roman" w:cs="Times New Roman"/>
              </w:rPr>
              <w:t>LaNatra</w:t>
            </w:r>
            <w:proofErr w:type="spellEnd"/>
            <w:r w:rsidRPr="00AA02D6">
              <w:rPr>
                <w:rFonts w:ascii="Times New Roman" w:hAnsi="Times New Roman" w:cs="Times New Roman"/>
              </w:rPr>
              <w:t xml:space="preserve"> of Kingston, Sweezey of Duxbury, and Kearney of Scituate</w:t>
            </w:r>
          </w:p>
        </w:tc>
      </w:tr>
      <w:tr w:rsidR="002A08E6" w:rsidRPr="00AA02D6" w14:paraId="4011B3B7" w14:textId="77777777">
        <w:trPr>
          <w:trHeight w:val="1050"/>
        </w:trPr>
        <w:tc>
          <w:tcPr>
            <w:tcW w:w="2445" w:type="dxa"/>
            <w:tcBorders>
              <w:top w:val="nil"/>
              <w:left w:val="nil"/>
              <w:bottom w:val="nil"/>
              <w:right w:val="nil"/>
            </w:tcBorders>
            <w:tcMar>
              <w:top w:w="0" w:type="dxa"/>
              <w:left w:w="100" w:type="dxa"/>
              <w:bottom w:w="0" w:type="dxa"/>
              <w:right w:w="100" w:type="dxa"/>
            </w:tcMar>
          </w:tcPr>
          <w:p w14:paraId="68C399B6" w14:textId="77777777" w:rsidR="002A08E6" w:rsidRPr="00AA02D6" w:rsidRDefault="00000000">
            <w:pPr>
              <w:spacing w:before="240" w:after="240"/>
              <w:rPr>
                <w:rFonts w:ascii="Times New Roman" w:hAnsi="Times New Roman" w:cs="Times New Roman"/>
                <w:b/>
                <w:u w:val="single"/>
              </w:rPr>
            </w:pPr>
            <w:r w:rsidRPr="00AA02D6">
              <w:rPr>
                <w:rFonts w:ascii="Times New Roman" w:hAnsi="Times New Roman" w:cs="Times New Roman"/>
                <w:b/>
                <w:u w:val="single"/>
              </w:rPr>
              <w:t>SIMILAR MATTERS</w:t>
            </w:r>
          </w:p>
        </w:tc>
        <w:tc>
          <w:tcPr>
            <w:tcW w:w="7035" w:type="dxa"/>
            <w:tcBorders>
              <w:top w:val="nil"/>
              <w:left w:val="nil"/>
              <w:bottom w:val="nil"/>
              <w:right w:val="nil"/>
            </w:tcBorders>
            <w:tcMar>
              <w:top w:w="0" w:type="dxa"/>
              <w:left w:w="100" w:type="dxa"/>
              <w:bottom w:w="0" w:type="dxa"/>
              <w:right w:w="100" w:type="dxa"/>
            </w:tcMar>
          </w:tcPr>
          <w:p w14:paraId="32ECC36B" w14:textId="77777777" w:rsidR="002A08E6" w:rsidRPr="00AA02D6" w:rsidRDefault="002A08E6">
            <w:pPr>
              <w:spacing w:before="240" w:after="240"/>
              <w:rPr>
                <w:rFonts w:ascii="Times New Roman" w:hAnsi="Times New Roman" w:cs="Times New Roman"/>
              </w:rPr>
            </w:pPr>
          </w:p>
        </w:tc>
      </w:tr>
      <w:tr w:rsidR="002A08E6" w:rsidRPr="00AA02D6" w14:paraId="2001EFC5" w14:textId="77777777">
        <w:trPr>
          <w:trHeight w:val="1050"/>
        </w:trPr>
        <w:tc>
          <w:tcPr>
            <w:tcW w:w="9480" w:type="dxa"/>
            <w:gridSpan w:val="2"/>
            <w:tcBorders>
              <w:top w:val="nil"/>
              <w:left w:val="nil"/>
              <w:bottom w:val="nil"/>
              <w:right w:val="nil"/>
            </w:tcBorders>
            <w:tcMar>
              <w:top w:w="0" w:type="dxa"/>
              <w:left w:w="100" w:type="dxa"/>
              <w:bottom w:w="0" w:type="dxa"/>
              <w:right w:w="100" w:type="dxa"/>
            </w:tcMar>
          </w:tcPr>
          <w:p w14:paraId="02285724" w14:textId="77777777" w:rsidR="002A08E6" w:rsidRPr="00AA02D6" w:rsidRDefault="00000000">
            <w:pPr>
              <w:spacing w:before="240" w:after="240"/>
              <w:rPr>
                <w:rFonts w:ascii="Times New Roman" w:hAnsi="Times New Roman" w:cs="Times New Roman"/>
                <w:b/>
                <w:u w:val="single"/>
              </w:rPr>
            </w:pPr>
            <w:r w:rsidRPr="00AA02D6">
              <w:rPr>
                <w:rFonts w:ascii="Times New Roman" w:hAnsi="Times New Roman" w:cs="Times New Roman"/>
                <w:b/>
                <w:u w:val="single"/>
              </w:rPr>
              <w:t>PRIOR HISTORY</w:t>
            </w:r>
          </w:p>
          <w:p w14:paraId="60A3A384" w14:textId="77777777" w:rsidR="002A08E6" w:rsidRPr="00AA02D6" w:rsidRDefault="00000000">
            <w:pPr>
              <w:spacing w:before="240" w:after="240"/>
              <w:rPr>
                <w:rFonts w:ascii="Times New Roman" w:hAnsi="Times New Roman" w:cs="Times New Roman"/>
              </w:rPr>
            </w:pPr>
            <w:r w:rsidRPr="00AA02D6">
              <w:rPr>
                <w:rFonts w:ascii="Times New Roman" w:hAnsi="Times New Roman" w:cs="Times New Roman"/>
              </w:rPr>
              <w:t>2021 - 2022: Filed as H964; sent to study by ENRA</w:t>
            </w:r>
          </w:p>
          <w:p w14:paraId="00C4FBF1" w14:textId="77777777" w:rsidR="002A08E6" w:rsidRPr="00AA02D6" w:rsidRDefault="00000000">
            <w:pPr>
              <w:spacing w:before="240" w:after="240"/>
              <w:rPr>
                <w:rFonts w:ascii="Times New Roman" w:hAnsi="Times New Roman" w:cs="Times New Roman"/>
              </w:rPr>
            </w:pPr>
            <w:r w:rsidRPr="00AA02D6">
              <w:rPr>
                <w:rFonts w:ascii="Times New Roman" w:hAnsi="Times New Roman" w:cs="Times New Roman"/>
              </w:rPr>
              <w:t>2023-2024: Filed as H3582; reported favorably by ENR to HWM, no further action taken</w:t>
            </w:r>
          </w:p>
        </w:tc>
      </w:tr>
      <w:tr w:rsidR="002A08E6" w:rsidRPr="00AA02D6" w14:paraId="3D3B148F" w14:textId="77777777">
        <w:trPr>
          <w:trHeight w:val="1050"/>
        </w:trPr>
        <w:tc>
          <w:tcPr>
            <w:tcW w:w="9480" w:type="dxa"/>
            <w:gridSpan w:val="2"/>
            <w:tcBorders>
              <w:top w:val="nil"/>
              <w:left w:val="nil"/>
              <w:bottom w:val="nil"/>
              <w:right w:val="nil"/>
            </w:tcBorders>
            <w:tcMar>
              <w:top w:w="0" w:type="dxa"/>
              <w:left w:w="100" w:type="dxa"/>
              <w:bottom w:w="0" w:type="dxa"/>
              <w:right w:w="100" w:type="dxa"/>
            </w:tcMar>
          </w:tcPr>
          <w:p w14:paraId="05581A49" w14:textId="77777777" w:rsidR="002A08E6" w:rsidRPr="00AA02D6" w:rsidRDefault="00000000">
            <w:pPr>
              <w:spacing w:before="240" w:after="240"/>
              <w:rPr>
                <w:rFonts w:ascii="Times New Roman" w:hAnsi="Times New Roman" w:cs="Times New Roman"/>
                <w:b/>
                <w:u w:val="single"/>
              </w:rPr>
            </w:pPr>
            <w:r w:rsidRPr="00AA02D6">
              <w:rPr>
                <w:rFonts w:ascii="Times New Roman" w:hAnsi="Times New Roman" w:cs="Times New Roman"/>
                <w:b/>
                <w:u w:val="single"/>
              </w:rPr>
              <w:t>SUMMARY</w:t>
            </w:r>
          </w:p>
          <w:p w14:paraId="1FF5069A" w14:textId="77777777" w:rsidR="002A08E6" w:rsidRPr="00AA02D6" w:rsidRDefault="00000000">
            <w:pPr>
              <w:spacing w:before="240" w:after="240"/>
              <w:rPr>
                <w:rFonts w:ascii="Times New Roman" w:hAnsi="Times New Roman" w:cs="Times New Roman"/>
              </w:rPr>
            </w:pPr>
            <w:r w:rsidRPr="00AA02D6">
              <w:rPr>
                <w:rFonts w:ascii="Times New Roman" w:hAnsi="Times New Roman" w:cs="Times New Roman"/>
              </w:rPr>
              <w:t xml:space="preserve">Chapter 371 Section 8 of the Acts of 1964 regarding the Central Plymouth County Water Resources is amended to prohibit diversions of Furnace Pond and </w:t>
            </w:r>
            <w:proofErr w:type="spellStart"/>
            <w:r w:rsidRPr="00AA02D6">
              <w:rPr>
                <w:rFonts w:ascii="Times New Roman" w:hAnsi="Times New Roman" w:cs="Times New Roman"/>
              </w:rPr>
              <w:t>Monponsett</w:t>
            </w:r>
            <w:proofErr w:type="spellEnd"/>
            <w:r w:rsidRPr="00AA02D6">
              <w:rPr>
                <w:rFonts w:ascii="Times New Roman" w:hAnsi="Times New Roman" w:cs="Times New Roman"/>
              </w:rPr>
              <w:t xml:space="preserve"> Pond into Silver Lake if it is the opinion of the Department of Agricultural Resources or the Water Resources Commission that it would endanger the environmental health of the associated ponds and rivers. Currently, the law states that diversion will not occur if it is the opinion of the Department of Public Health that such diversion would be a danger to public health. </w:t>
            </w:r>
          </w:p>
          <w:p w14:paraId="160AF3E3" w14:textId="77777777" w:rsidR="002A08E6" w:rsidRPr="00AA02D6" w:rsidRDefault="00000000">
            <w:pPr>
              <w:spacing w:before="240" w:after="240"/>
              <w:rPr>
                <w:rFonts w:ascii="Times New Roman" w:hAnsi="Times New Roman" w:cs="Times New Roman"/>
              </w:rPr>
            </w:pPr>
            <w:r w:rsidRPr="00AA02D6">
              <w:rPr>
                <w:rFonts w:ascii="Times New Roman" w:hAnsi="Times New Roman" w:cs="Times New Roman"/>
              </w:rPr>
              <w:t xml:space="preserve">The bill also requires that Silver Lake, </w:t>
            </w:r>
            <w:proofErr w:type="spellStart"/>
            <w:r w:rsidRPr="00AA02D6">
              <w:rPr>
                <w:rFonts w:ascii="Times New Roman" w:hAnsi="Times New Roman" w:cs="Times New Roman"/>
              </w:rPr>
              <w:t>Monponsett</w:t>
            </w:r>
            <w:proofErr w:type="spellEnd"/>
            <w:r w:rsidRPr="00AA02D6">
              <w:rPr>
                <w:rFonts w:ascii="Times New Roman" w:hAnsi="Times New Roman" w:cs="Times New Roman"/>
              </w:rPr>
              <w:t xml:space="preserve"> Pond and Furnace Pond shall be </w:t>
            </w:r>
            <w:proofErr w:type="gramStart"/>
            <w:r w:rsidRPr="00AA02D6">
              <w:rPr>
                <w:rFonts w:ascii="Times New Roman" w:hAnsi="Times New Roman" w:cs="Times New Roman"/>
              </w:rPr>
              <w:t>managed at all times</w:t>
            </w:r>
            <w:proofErr w:type="gramEnd"/>
            <w:r w:rsidRPr="00AA02D6">
              <w:rPr>
                <w:rFonts w:ascii="Times New Roman" w:hAnsi="Times New Roman" w:cs="Times New Roman"/>
              </w:rPr>
              <w:t xml:space="preserve">, unless prevented by drought, to ensure continuous flow to all out-flowing rivers.  </w:t>
            </w:r>
          </w:p>
        </w:tc>
      </w:tr>
    </w:tbl>
    <w:p w14:paraId="1E907FEA" w14:textId="77777777" w:rsidR="002A08E6" w:rsidRPr="00AA02D6" w:rsidRDefault="002A08E6">
      <w:pPr>
        <w:rPr>
          <w:rFonts w:ascii="Times New Roman" w:hAnsi="Times New Roman" w:cs="Times New Roman"/>
        </w:rPr>
      </w:pPr>
    </w:p>
    <w:sectPr w:rsidR="002A08E6" w:rsidRPr="00AA02D6">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8E6"/>
    <w:rsid w:val="002A08E6"/>
    <w:rsid w:val="003D4121"/>
    <w:rsid w:val="00AA02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175359"/>
  <w15:docId w15:val="{D5802935-27DD-457F-B6A6-3CE27BB29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187</Words>
  <Characters>1072</Characters>
  <Application>Microsoft Office Word</Application>
  <DocSecurity>0</DocSecurity>
  <Lines>8</Lines>
  <Paragraphs>2</Paragraphs>
  <ScaleCrop>false</ScaleCrop>
  <Company/>
  <LinksUpToDate>false</LinksUpToDate>
  <CharactersWithSpaces>1257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Newman, Jacob (HOU)</cp:lastModifiedBy>
  <cp:revision>2</cp:revision>
  <dcterms:created xsi:type="dcterms:W3CDTF">2025-04-08T15:32:00Z</dcterms:created>
  <dcterms:modified xsi:type="dcterms:W3CDTF">2025-04-08T15:32:00Z</dcterms:modified>
</cp:coreProperties>
</file>