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66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985</w:t>
            </w:r>
          </w:p>
        </w:tc>
      </w:tr>
      <w:tr>
        <w:trPr>
          <w:cantSplit w:val="0"/>
          <w:trHeight w:val="707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"/>
                <w:szCs w:val="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establishing an ecologically-based mosquito management program in the Commonwealth to protect public health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373046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 LaNatra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S.547, Senator Comerford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2021-2022; Filed as S556; ENRA sent to study</w:t>
              <w:br w:type="textWrapping"/>
              <w:t xml:space="preserve">2023-2024: Filed as H845; Reported favorably and sent to HWM; No further action taken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5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session, this bill was minimally redrafted but keeps its overall intent. This bill amends Chapter 252 (Improvement of Low Land and Swamps) of MGL by striking Section 2 and inserting in its place Section 2(a). This new section provides definitions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adulticiding, disease vector, larviciding, PFAS, and source reduction. </w:t>
            </w:r>
          </w:p>
          <w:p w:rsidR="00000000" w:rsidDel="00000000" w:rsidP="00000000" w:rsidRDefault="00000000" w:rsidRPr="00000000" w14:paraId="00000017">
            <w:pPr>
              <w:spacing w:after="0" w:before="0" w:lineRule="auto"/>
              <w:rPr>
                <w:rFonts w:ascii="Times New Roman" w:cs="Times New Roman" w:eastAsia="Times New Roman" w:hAnsi="Times New Roman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2(b) establishes the Mosquito Management Board. The specific makeup of the board is outlined within the bill text. The board will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oversee all disease vector mosquito management activities and develop a science-based statewide integrated pest management mosquito-borne disease management plan. When conducting mosquito management activities, state agencies and subdivisions including mosquito control districts, mosquito control projects and municipalities will adhere to this plan. </w:t>
            </w:r>
          </w:p>
          <w:p w:rsidR="00000000" w:rsidDel="00000000" w:rsidP="00000000" w:rsidRDefault="00000000" w:rsidRPr="00000000" w14:paraId="00000019">
            <w:pPr>
              <w:spacing w:after="0" w:before="0" w:lineRule="auto"/>
              <w:rPr>
                <w:rFonts w:ascii="Times New Roman" w:cs="Times New Roman" w:eastAsia="Times New Roman" w:hAnsi="Times New Roman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plan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will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provide an ecologically sustainable approach to the management of mosquito populations combining cultural, physical, biological and least-toxic chemical control strategies. Section(c)1-7 details the specific requirements of this plan.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Mosquito Management Board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will post a public notice and establish a public comment period once a draft plan is developed. Additional requirements of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Mosquito Management Board are detailed within the bill text.</w:t>
            </w:r>
          </w:p>
          <w:p w:rsidR="00000000" w:rsidDel="00000000" w:rsidP="00000000" w:rsidRDefault="00000000" w:rsidRPr="00000000" w14:paraId="0000001B">
            <w:pPr>
              <w:spacing w:after="0" w:before="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Each year, the different activities and expenditures of the board and mosquito control districts will be published as well as their efficacy and overall impact.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