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Joint Committee on Environment and Natural Resources</w:t>
      </w:r>
    </w:p>
    <w:p w:rsidR="00000000" w:rsidDel="00000000" w:rsidP="00000000" w:rsidRDefault="00000000" w:rsidRPr="00000000" w14:paraId="00000002">
      <w:pPr>
        <w:spacing w:after="240" w:before="24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Bill Summary</w:t>
        <w:br w:type="textWrapping"/>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b w:val="1"/>
          <w:sz w:val="24"/>
          <w:szCs w:val="24"/>
          <w:rtl w:val="0"/>
        </w:rPr>
        <w:t xml:space="preserve">__________________________________________________________________</w:t>
      </w:r>
    </w:p>
    <w:tbl>
      <w:tblPr>
        <w:tblStyle w:val="Table1"/>
        <w:tblW w:w="935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67.5110456553753"/>
        <w:gridCol w:w="6892.488954344624"/>
        <w:tblGridChange w:id="0">
          <w:tblGrid>
            <w:gridCol w:w="2467.5110456553753"/>
            <w:gridCol w:w="6892.488954344624"/>
          </w:tblGrid>
        </w:tblGridChange>
      </w:tblGrid>
      <w:tr>
        <w:trPr>
          <w:cantSplit w:val="0"/>
          <w:trHeight w:val="54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3">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BILL NUMBER</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4">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House, No. 986</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5">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TITLE</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6">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An Act relative to the Department of Fish and Game</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7">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SPONSORS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8">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Representative LaNatra</w:t>
            </w:r>
          </w:p>
        </w:tc>
      </w:tr>
      <w:tr>
        <w:trPr>
          <w:cantSplit w:val="0"/>
          <w:trHeight w:val="510" w:hRule="atLeast"/>
          <w:tblHeader w:val="0"/>
        </w:trPr>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9">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SIMILAR MATTERS</w:t>
            </w:r>
          </w:p>
        </w:tc>
        <w:tc>
          <w:tcPr>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A">
            <w:pPr>
              <w:spacing w:after="240" w:befor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None</w:t>
            </w:r>
          </w:p>
        </w:tc>
      </w:tr>
      <w:tr>
        <w:trPr>
          <w:cantSplit w:val="0"/>
          <w:trHeight w:val="1500" w:hRule="atLeast"/>
          <w:tblHeader w:val="0"/>
        </w:trPr>
        <w:tc>
          <w:tcPr>
            <w:gridSpan w:val="2"/>
            <w:tcBorders>
              <w:top w:color="000000" w:space="0" w:sz="0" w:val="nil"/>
              <w:left w:color="000000" w:space="0" w:sz="0" w:val="nil"/>
              <w:bottom w:color="000000" w:space="0" w:sz="0" w:val="nil"/>
              <w:right w:color="000000" w:space="0" w:sz="0" w:val="nil"/>
            </w:tcBorders>
            <w:tcMar>
              <w:top w:w="0.0" w:type="dxa"/>
              <w:left w:w="100.0" w:type="dxa"/>
              <w:bottom w:w="0.0" w:type="dxa"/>
              <w:right w:w="100.0" w:type="dxa"/>
            </w:tcMar>
            <w:vAlign w:val="top"/>
          </w:tcPr>
          <w:p w:rsidR="00000000" w:rsidDel="00000000" w:rsidP="00000000" w:rsidRDefault="00000000" w:rsidRPr="00000000" w14:paraId="0000000B">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PRIOR HISTORY</w:t>
            </w:r>
          </w:p>
          <w:p w:rsidR="00000000" w:rsidDel="00000000" w:rsidP="00000000" w:rsidRDefault="00000000" w:rsidRPr="00000000" w14:paraId="0000000C">
            <w:pPr>
              <w:spacing w:after="0" w:before="0" w:line="24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New file; No previous history. </w:t>
            </w:r>
            <w:r w:rsidDel="00000000" w:rsidR="00000000" w:rsidRPr="00000000">
              <w:rPr>
                <w:rtl w:val="0"/>
              </w:rPr>
            </w:r>
          </w:p>
        </w:tc>
      </w:tr>
      <w:tr>
        <w:trPr>
          <w:cantSplit w:val="0"/>
          <w:trHeight w:val="3960" w:hRule="atLeast"/>
          <w:tblHeader w:val="0"/>
        </w:trPr>
        <w:tc>
          <w:tcPr>
            <w:gridSpan w:val="2"/>
            <w:tcBorders>
              <w:top w:color="000000" w:space="0" w:sz="0" w:val="nil"/>
              <w:left w:color="000000" w:space="0" w:sz="0" w:val="nil"/>
              <w:bottom w:color="000000" w:space="0" w:sz="0" w:val="nil"/>
              <w:right w:color="000000" w:space="0" w:sz="0" w:val="nil"/>
            </w:tcBorders>
            <w:shd w:fill="auto" w:val="clear"/>
            <w:tcMar>
              <w:top w:w="0.0" w:type="dxa"/>
              <w:left w:w="100.0" w:type="dxa"/>
              <w:bottom w:w="0.0" w:type="dxa"/>
              <w:right w:w="100.0" w:type="dxa"/>
            </w:tcMar>
            <w:vAlign w:val="top"/>
          </w:tcPr>
          <w:p w:rsidR="00000000" w:rsidDel="00000000" w:rsidP="00000000" w:rsidRDefault="00000000" w:rsidRPr="00000000" w14:paraId="0000000E">
            <w:pPr>
              <w:spacing w:after="240" w:before="240" w:lineRule="auto"/>
              <w:rPr>
                <w:rFonts w:ascii="Times New Roman" w:cs="Times New Roman" w:eastAsia="Times New Roman" w:hAnsi="Times New Roman"/>
                <w:b w:val="1"/>
                <w:sz w:val="24"/>
                <w:szCs w:val="24"/>
                <w:u w:val="single"/>
              </w:rPr>
            </w:pPr>
            <w:r w:rsidDel="00000000" w:rsidR="00000000" w:rsidRPr="00000000">
              <w:rPr>
                <w:rFonts w:ascii="Times New Roman" w:cs="Times New Roman" w:eastAsia="Times New Roman" w:hAnsi="Times New Roman"/>
                <w:b w:val="1"/>
                <w:sz w:val="24"/>
                <w:szCs w:val="24"/>
                <w:u w:val="single"/>
                <w:rtl w:val="0"/>
              </w:rPr>
              <w:t xml:space="preserve">SUMMARY</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after="200" w:line="240" w:lineRule="auto"/>
              <w:rPr>
                <w:rFonts w:ascii="Times New Roman" w:cs="Times New Roman" w:eastAsia="Times New Roman" w:hAnsi="Times New Roman"/>
                <w:sz w:val="24"/>
                <w:szCs w:val="24"/>
                <w:highlight w:val="white"/>
              </w:rPr>
            </w:pPr>
            <w:r w:rsidDel="00000000" w:rsidR="00000000" w:rsidRPr="00000000">
              <w:rPr>
                <w:rFonts w:ascii="Times New Roman" w:cs="Times New Roman" w:eastAsia="Times New Roman" w:hAnsi="Times New Roman"/>
                <w:sz w:val="24"/>
                <w:szCs w:val="24"/>
                <w:highlight w:val="white"/>
                <w:rtl w:val="0"/>
              </w:rPr>
              <w:t xml:space="preserve">Section 8 of Chapter 21A of Massachusetts General Law is amended to update and expand the structure and responsibilities of the Massachusetts Department of Fish and Game. This legislation formally establishes the responsibilities of two divisions: the Division of Fishing and Boating Access, responsible for constructing and maintaining public access facilities like boat ramps and fishing areas, and the Division of Ecological Restoration, which focuses on restoring rivers, wetlands, and watersheds in collaboration with various entities, including tribes. The changes also shift authority over certain training and access recommendations from external bodies to these internal divisions, streamlining oversight and improving coordination within the department. </w:t>
            </w:r>
            <w:r w:rsidDel="00000000" w:rsidR="00000000" w:rsidRPr="00000000">
              <w:rPr>
                <w:rtl w:val="0"/>
              </w:rPr>
            </w:r>
          </w:p>
        </w:tc>
      </w:tr>
    </w:tbl>
    <w:p w:rsidR="00000000" w:rsidDel="00000000" w:rsidP="00000000" w:rsidRDefault="00000000" w:rsidRPr="00000000" w14:paraId="00000011">
      <w:pPr>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