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Joint Committee on Environment and Natural Resources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28"/>
          <w:szCs w:val="28"/>
          <w:rtl w:val="0"/>
        </w:rPr>
        <w:t xml:space="preserve">Bill Summary</w:t>
      </w:r>
      <w:r w:rsidDel="00000000" w:rsidR="00000000" w:rsidRPr="00000000">
        <w:rPr>
          <w:rtl w:val="0"/>
        </w:rPr>
        <w:br w:type="textWrapping"/>
      </w:r>
      <w:r w:rsidDel="00000000" w:rsidR="00000000" w:rsidRPr="00000000">
        <w:rPr>
          <w:b w:val="1"/>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rPr/>
            </w:pPr>
            <w:r w:rsidDel="00000000" w:rsidR="00000000" w:rsidRPr="00000000">
              <w:rPr>
                <w:b w:val="1"/>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line="240" w:lineRule="auto"/>
              <w:rPr/>
            </w:pPr>
            <w:r w:rsidDel="00000000" w:rsidR="00000000" w:rsidRPr="00000000">
              <w:rPr>
                <w:rtl w:val="0"/>
              </w:rPr>
              <w:t xml:space="preserve">House, No. 989</w:t>
            </w:r>
          </w:p>
        </w:tc>
      </w:tr>
      <w:tr>
        <w:trPr>
          <w:cantSplit w:val="0"/>
          <w:tblHeader w:val="0"/>
        </w:trPr>
        <w:tc>
          <w:tcPr/>
          <w:p w:rsidR="00000000" w:rsidDel="00000000" w:rsidP="00000000" w:rsidRDefault="00000000" w:rsidRPr="00000000" w14:paraId="00000005">
            <w:pPr>
              <w:rPr/>
            </w:pPr>
            <w:r w:rsidDel="00000000" w:rsidR="00000000" w:rsidRPr="00000000">
              <w:rPr>
                <w:b w:val="1"/>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Rule="auto"/>
              <w:rPr/>
            </w:pPr>
            <w:r w:rsidDel="00000000" w:rsidR="00000000" w:rsidRPr="00000000">
              <w:rPr>
                <w:rtl w:val="0"/>
              </w:rPr>
              <w:t xml:space="preserve">An Act concerning the use of animals in product testing</w:t>
            </w:r>
          </w:p>
        </w:tc>
      </w:tr>
      <w:tr>
        <w:trPr>
          <w:cantSplit w:val="0"/>
          <w:tblHeader w:val="0"/>
        </w:trPr>
        <w:tc>
          <w:tcPr/>
          <w:p w:rsidR="00000000" w:rsidDel="00000000" w:rsidP="00000000" w:rsidRDefault="00000000" w:rsidRPr="00000000" w14:paraId="00000007">
            <w:pPr>
              <w:spacing w:after="240" w:lineRule="auto"/>
              <w:rPr>
                <w:b w:val="1"/>
                <w:u w:val="single"/>
              </w:rPr>
            </w:pPr>
            <w:r w:rsidDel="00000000" w:rsidR="00000000" w:rsidRPr="00000000">
              <w:rPr>
                <w:b w:val="1"/>
                <w:u w:val="single"/>
                <w:rtl w:val="0"/>
              </w:rPr>
              <w:t xml:space="preserve">SPONSORS</w:t>
            </w:r>
          </w:p>
          <w:p w:rsidR="00000000" w:rsidDel="00000000" w:rsidP="00000000" w:rsidRDefault="00000000" w:rsidRPr="00000000" w14:paraId="00000008">
            <w:pPr>
              <w:spacing w:after="240" w:lineRule="auto"/>
              <w:rPr>
                <w:b w:val="1"/>
                <w:u w:val="single"/>
              </w:rPr>
            </w:pPr>
            <w:r w:rsidDel="00000000" w:rsidR="00000000" w:rsidRPr="00000000">
              <w:rPr>
                <w:b w:val="1"/>
                <w:u w:val="single"/>
                <w:rtl w:val="0"/>
              </w:rPr>
              <w:t xml:space="preserve">SIMILAR MATTERS</w:t>
            </w:r>
          </w:p>
        </w:tc>
        <w:tc>
          <w:tcPr/>
          <w:p w:rsidR="00000000" w:rsidDel="00000000" w:rsidP="00000000" w:rsidRDefault="00000000" w:rsidRPr="00000000" w14:paraId="00000009">
            <w:pPr>
              <w:spacing w:after="240" w:lineRule="auto"/>
              <w:rPr/>
            </w:pPr>
            <w:r w:rsidDel="00000000" w:rsidR="00000000" w:rsidRPr="00000000">
              <w:rPr>
                <w:rtl w:val="0"/>
              </w:rPr>
              <w:t xml:space="preserve">Representative Lewis</w:t>
            </w:r>
          </w:p>
          <w:p w:rsidR="00000000" w:rsidDel="00000000" w:rsidP="00000000" w:rsidRDefault="00000000" w:rsidRPr="00000000" w14:paraId="0000000A">
            <w:pPr>
              <w:spacing w:after="240" w:lineRule="auto"/>
              <w:rPr/>
            </w:pPr>
            <w:r w:rsidDel="00000000" w:rsidR="00000000" w:rsidRPr="00000000">
              <w:rPr>
                <w:rtl w:val="0"/>
              </w:rPr>
              <w:t xml:space="preserve">None</w:t>
            </w:r>
          </w:p>
        </w:tc>
      </w:tr>
      <w:tr>
        <w:trPr>
          <w:cantSplit w:val="0"/>
          <w:tblHeader w:val="0"/>
        </w:trPr>
        <w:tc>
          <w:tcPr>
            <w:gridSpan w:val="2"/>
          </w:tcPr>
          <w:p w:rsidR="00000000" w:rsidDel="00000000" w:rsidP="00000000" w:rsidRDefault="00000000" w:rsidRPr="00000000" w14:paraId="0000000B">
            <w:pPr>
              <w:spacing w:after="240" w:lineRule="auto"/>
              <w:rPr>
                <w:b w:val="1"/>
                <w:u w:val="single"/>
              </w:rPr>
            </w:pPr>
            <w:r w:rsidDel="00000000" w:rsidR="00000000" w:rsidRPr="00000000">
              <w:rPr>
                <w:b w:val="1"/>
                <w:u w:val="single"/>
                <w:rtl w:val="0"/>
              </w:rPr>
              <w:t xml:space="preserve">PRIOR HISTORY</w:t>
            </w:r>
          </w:p>
          <w:p w:rsidR="00000000" w:rsidDel="00000000" w:rsidP="00000000" w:rsidRDefault="00000000" w:rsidRPr="00000000" w14:paraId="0000000C">
            <w:pPr>
              <w:spacing w:after="0" w:lineRule="auto"/>
              <w:rPr/>
            </w:pPr>
            <w:r w:rsidDel="00000000" w:rsidR="00000000" w:rsidRPr="00000000">
              <w:rPr>
                <w:rtl w:val="0"/>
              </w:rPr>
              <w:t xml:space="preserve">2017-2018: Filed as H2933; Reported Favorably by ENRA </w:t>
            </w:r>
          </w:p>
          <w:p w:rsidR="00000000" w:rsidDel="00000000" w:rsidP="00000000" w:rsidRDefault="00000000" w:rsidRPr="00000000" w14:paraId="0000000D">
            <w:pPr>
              <w:spacing w:after="0" w:lineRule="auto"/>
              <w:rPr/>
            </w:pPr>
            <w:r w:rsidDel="00000000" w:rsidR="00000000" w:rsidRPr="00000000">
              <w:rPr>
                <w:rtl w:val="0"/>
              </w:rPr>
              <w:t xml:space="preserve">2019-2020: Filed as H823/S505; Reported favorably as redrafted by ENRA; Referred to SWM where no further action was taken </w:t>
            </w:r>
          </w:p>
          <w:p w:rsidR="00000000" w:rsidDel="00000000" w:rsidP="00000000" w:rsidRDefault="00000000" w:rsidRPr="00000000" w14:paraId="0000000E">
            <w:pPr>
              <w:spacing w:after="0" w:lineRule="auto"/>
              <w:rPr/>
            </w:pPr>
            <w:r w:rsidDel="00000000" w:rsidR="00000000" w:rsidRPr="00000000">
              <w:rPr>
                <w:rtl w:val="0"/>
              </w:rPr>
              <w:t xml:space="preserve">2021-2022: Filed as H966/S584; Reported favorably by ENRA; Referred to HWM where no further action was taken</w:t>
            </w:r>
          </w:p>
          <w:p w:rsidR="00000000" w:rsidDel="00000000" w:rsidP="00000000" w:rsidRDefault="00000000" w:rsidRPr="00000000" w14:paraId="0000000F">
            <w:pPr>
              <w:spacing w:after="0" w:lineRule="auto"/>
              <w:rPr/>
            </w:pPr>
            <w:r w:rsidDel="00000000" w:rsidR="00000000" w:rsidRPr="00000000">
              <w:rPr>
                <w:rtl w:val="0"/>
              </w:rPr>
              <w:t xml:space="preserve">2023-2024: Filed as H850; Reported favorably by ENR carrying S1424; Referred to HWM where no further action was taken</w:t>
            </w:r>
          </w:p>
          <w:p w:rsidR="00000000" w:rsidDel="00000000" w:rsidP="00000000" w:rsidRDefault="00000000" w:rsidRPr="00000000" w14:paraId="00000010">
            <w:pPr>
              <w:spacing w:after="0"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keepNext w:val="1"/>
              <w:keepLines w:val="1"/>
              <w:spacing w:after="240" w:lineRule="auto"/>
              <w:rPr/>
            </w:pPr>
            <w:r w:rsidDel="00000000" w:rsidR="00000000" w:rsidRPr="00000000">
              <w:rPr>
                <w:b w:val="1"/>
                <w:u w:val="single"/>
                <w:rtl w:val="0"/>
              </w:rPr>
              <w:t xml:space="preserve">SUMMARY</w:t>
            </w: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This bill creates Section 174J to Chapter 140 of Massachusetts General Law, establishing new definitions and regulations around chemical and product testing. Key definitions include "alternative test method," which refers to non-animal testing approaches such as in vitro studies and computational models, and "traditional animal test method," which involves the use of animals in testing. The legislation also clarifies the roles of manufacturers, contract testing facilities, and the Commissioner of Public Health.</w:t>
            </w:r>
          </w:p>
          <w:p w:rsidR="00000000" w:rsidDel="00000000" w:rsidP="00000000" w:rsidRDefault="00000000" w:rsidRPr="00000000" w14:paraId="00000014">
            <w:pPr>
              <w:spacing w:line="240" w:lineRule="auto"/>
              <w:rPr/>
            </w:pPr>
            <w:r w:rsidDel="00000000" w:rsidR="00000000" w:rsidRPr="00000000">
              <w:rPr>
                <w:rtl w:val="0"/>
              </w:rPr>
              <w:t xml:space="preserve">The core provision prohibits manufacturers and contract testing facilities in Massachusetts from using traditional animal testing methods when scientifically valid alternative methods are available. However, this restriction does not apply to testing conducted for medical research purposes. The Commissioner of Public Health is responsible for developing and enforcing regulations to implement this section, ensuring alignment with internationally recognized standards such as the OECD Guidelines for the Testing of Chemicals. The Commissioner must issue these regulations within 180 days of the act’s passage. The prohibition on traditional animal testing becomes effective six months after the bill’s passage into law, while the requirement to develop regulations takes effect immediately.</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07E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07E7"/>
    <w:rPr>
      <w:rFonts w:ascii="Tahoma" w:cs="Tahoma" w:hAnsi="Tahoma"/>
      <w:sz w:val="16"/>
      <w:szCs w:val="16"/>
      <w:lang w:eastAsia="en-US" w:val="en-US"/>
    </w:rPr>
  </w:style>
  <w:style w:type="character" w:styleId="CommentReference">
    <w:name w:val="annotation reference"/>
    <w:basedOn w:val="DefaultParagraphFont"/>
    <w:uiPriority w:val="99"/>
    <w:semiHidden w:val="1"/>
    <w:unhideWhenUsed w:val="1"/>
    <w:rsid w:val="002F70E8"/>
    <w:rPr>
      <w:sz w:val="16"/>
      <w:szCs w:val="16"/>
    </w:rPr>
  </w:style>
  <w:style w:type="paragraph" w:styleId="CommentText">
    <w:name w:val="annotation text"/>
    <w:basedOn w:val="Normal"/>
    <w:link w:val="CommentTextChar"/>
    <w:uiPriority w:val="99"/>
    <w:semiHidden w:val="1"/>
    <w:unhideWhenUsed w:val="1"/>
    <w:rsid w:val="002F70E8"/>
    <w:rPr>
      <w:sz w:val="20"/>
      <w:szCs w:val="20"/>
    </w:rPr>
  </w:style>
  <w:style w:type="character" w:styleId="CommentTextChar" w:customStyle="1">
    <w:name w:val="Comment Text Char"/>
    <w:basedOn w:val="DefaultParagraphFont"/>
    <w:link w:val="CommentText"/>
    <w:uiPriority w:val="99"/>
    <w:semiHidden w:val="1"/>
    <w:rsid w:val="002F70E8"/>
    <w:rPr>
      <w:lang w:eastAsia="en-US" w:val="en-US"/>
    </w:rPr>
  </w:style>
  <w:style w:type="paragraph" w:styleId="CommentSubject">
    <w:name w:val="annotation subject"/>
    <w:basedOn w:val="CommentText"/>
    <w:next w:val="CommentText"/>
    <w:link w:val="CommentSubjectChar"/>
    <w:uiPriority w:val="99"/>
    <w:semiHidden w:val="1"/>
    <w:unhideWhenUsed w:val="1"/>
    <w:rsid w:val="002F70E8"/>
    <w:rPr>
      <w:b w:val="1"/>
      <w:bCs w:val="1"/>
    </w:rPr>
  </w:style>
  <w:style w:type="character" w:styleId="CommentSubjectChar" w:customStyle="1">
    <w:name w:val="Comment Subject Char"/>
    <w:basedOn w:val="CommentTextChar"/>
    <w:link w:val="CommentSubject"/>
    <w:uiPriority w:val="99"/>
    <w:semiHidden w:val="1"/>
    <w:rsid w:val="002F70E8"/>
    <w:rPr>
      <w:b w:val="1"/>
      <w:bCs w:val="1"/>
      <w:lang w:eastAsia="en-US" w:val="en-US"/>
    </w:rPr>
  </w:style>
  <w:style w:type="character" w:styleId="Hyperlink">
    <w:name w:val="Hyperlink"/>
    <w:basedOn w:val="DefaultParagraphFont"/>
    <w:uiPriority w:val="99"/>
    <w:unhideWhenUsed w:val="1"/>
    <w:rsid w:val="00562743"/>
    <w:rPr>
      <w:color w:val="0000ff" w:themeColor="hyperlink"/>
      <w:u w:val="single"/>
    </w:rPr>
  </w:style>
  <w:style w:type="character" w:styleId="LineNumber">
    <w:name w:val="line number"/>
    <w:basedOn w:val="DefaultParagraphFont"/>
    <w:uiPriority w:val="99"/>
    <w:semiHidden w:val="1"/>
    <w:unhideWhenUsed w:val="1"/>
    <w:rsid w:val="00260C9A"/>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jrZnAvNeW1PV+H/PD9DurO5A==">CgMxLjA4AHIhMVlkc3FBcGhiWUpDVHQwbC1salVScWdWNVdDU3ZBNVpr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2025-03-19T13:31:00Z</dcterms:created>
  <dc:creator>MA Legislature, LAWS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0x01010028BF971DFD34904ABD440200B318A808</vt:lpwstr>
  </property>
</Properties>
</file>