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450.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885"/>
        <w:tblGridChange w:id="0">
          <w:tblGrid>
            <w:gridCol w:w="2565"/>
            <w:gridCol w:w="6885"/>
          </w:tblGrid>
        </w:tblGridChange>
      </w:tblGrid>
      <w:tr>
        <w:trPr>
          <w:cantSplit w:val="0"/>
          <w:trHeight w:val="6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Rule="auto"/>
              <w:rPr>
                <w:rFonts w:ascii="Times New Roman" w:cs="Times New Roman" w:eastAsia="Times New Roman" w:hAnsi="Times New Roman"/>
                <w:b w:val="1"/>
                <w:sz w:val="2"/>
                <w:szCs w:val="2"/>
                <w:u w:val="single"/>
              </w:rPr>
            </w:pPr>
            <w:r w:rsidDel="00000000" w:rsidR="00000000" w:rsidRPr="00000000">
              <w:rPr>
                <w:rtl w:val="0"/>
              </w:rPr>
            </w:r>
          </w:p>
          <w:p w:rsidR="00000000" w:rsidDel="00000000" w:rsidP="00000000" w:rsidRDefault="00000000" w:rsidRPr="00000000" w14:paraId="00000004">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sz w:val="2"/>
                <w:szCs w:val="2"/>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990</w:t>
            </w:r>
          </w:p>
        </w:tc>
      </w:tr>
      <w:tr>
        <w:trPr>
          <w:cantSplit w:val="0"/>
          <w:trHeight w:val="57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prohibiting the sale of newly farmed fur products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A">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B">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Lewis</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S551 by Senator Creem</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introduces a new chapter to Massachusetts General Law, Chapter 110I, detailing the prohibition of newly farmed fur products. This new chapter is based on findings that eliminating the sale of such products will reduce animal cruelty, promote public health, and raise awareness of animal welfare.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this chapter, “fur” is defined as any animal skin with hair, fleece, or fur fibers attached, and “fur products” include a broad range of clothing, accessories, and home décor items made partially or entirely from fur.  The bill language specifically targets fur sourced from animals kept on fur farms - such as mink, foxes, and chinchillas - and prohibits the sale, offer for sale, display, trade, or distribution of these products within the Commonwealth.  A sale is considered to occur in Massachusetts if the buyer takes possession of the item within the state or if the seller is located there.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exceptions to the ban are included in the legislation.  These include used fur products, items used for religious purposes, and fur products whose sale is expressly permitted by federal law.  This provision ensures that secondhand and religious uses for fur are not affected, while still limiting the commercial demand for newly produced farmed fur.</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Enforcement of the chapter falls under the authority of the Attorney General, who is tasked with implementing rules and regulations within six months of the law’s passage.  Violators may face civil penalties ranging from $500 to $5,000 per infraction, with each illegal product treated as a separate offense.  The bill shall take effect one year after its passage into law, giving businesses and consumers time to adjust.</w:t>
            </w:r>
            <w:r w:rsidDel="00000000" w:rsidR="00000000" w:rsidRPr="00000000">
              <w:rPr>
                <w:rtl w:val="0"/>
              </w:rPr>
            </w:r>
          </w:p>
        </w:tc>
      </w:tr>
    </w:tbl>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