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b w:val="1"/>
        </w:rPr>
      </w:pPr>
      <w:r w:rsidDel="00000000" w:rsidR="00000000" w:rsidRPr="00000000">
        <w:rPr>
          <w:rFonts w:ascii="Times New Roman" w:cs="Times New Roman" w:eastAsia="Times New Roman" w:hAnsi="Times New Roman"/>
          <w:b w:val="1"/>
          <w:sz w:val="24"/>
          <w:szCs w:val="24"/>
          <w:rtl w:val="0"/>
        </w:rPr>
        <w:t xml:space="preserve">Bill Summary</w:t>
      </w:r>
      <w:r w:rsidDel="00000000" w:rsidR="00000000" w:rsidRPr="00000000">
        <w:rPr>
          <w:b w:val="1"/>
          <w:sz w:val="28"/>
          <w:szCs w:val="28"/>
          <w:rtl w:val="0"/>
        </w:rPr>
        <w:br w:type="textWrapping"/>
      </w:r>
      <w:r w:rsidDel="00000000" w:rsidR="00000000" w:rsidRPr="00000000">
        <w:rPr>
          <w:rtl w:val="0"/>
        </w:rPr>
        <w:t xml:space="preserve"> </w:t>
      </w:r>
      <w:r w:rsidDel="00000000" w:rsidR="00000000" w:rsidRPr="00000000">
        <w:rPr>
          <w:b w:val="1"/>
          <w:rtl w:val="0"/>
        </w:rPr>
        <w:t xml:space="preserve">__________________________________________________________________</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0"/>
        <w:gridCol w:w="6720"/>
        <w:tblGridChange w:id="0">
          <w:tblGrid>
            <w:gridCol w:w="2640"/>
            <w:gridCol w:w="672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991</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ensuring safe drinking water in schools</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Lipper-Garabedian, Blais</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S.631, by Senator Lovely</w:t>
            </w:r>
          </w:p>
        </w:tc>
      </w:tr>
      <w:tr>
        <w:trPr>
          <w:cantSplit w:val="0"/>
          <w:trHeight w:val="2932.302246093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C">
            <w:pPr>
              <w:spacing w:after="0" w:before="0" w:lineRule="auto"/>
              <w:rPr>
                <w:rFonts w:ascii="Times New Roman" w:cs="Times New Roman" w:eastAsia="Times New Roman" w:hAnsi="Times New Roman"/>
                <w:b w:val="1"/>
                <w:sz w:val="14"/>
                <w:szCs w:val="14"/>
                <w:u w:val="single"/>
              </w:rPr>
            </w:pPr>
            <w:r w:rsidDel="00000000" w:rsidR="00000000" w:rsidRPr="00000000">
              <w:rPr>
                <w:rtl w:val="0"/>
              </w:rPr>
            </w:r>
          </w:p>
          <w:p w:rsidR="00000000" w:rsidDel="00000000" w:rsidP="00000000" w:rsidRDefault="00000000" w:rsidRPr="00000000" w14:paraId="0000000D">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2017-2018: Filed as S456; Reported favorably as redrafted by ENRA</w:t>
            </w:r>
          </w:p>
          <w:p w:rsidR="00000000" w:rsidDel="00000000" w:rsidP="00000000" w:rsidRDefault="00000000" w:rsidRPr="00000000" w14:paraId="0000000E">
            <w:pPr>
              <w:spacing w:after="0" w:before="0"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F">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2019-2020: Filed as S500/H774; Reported favorably by ENRA accompanying a new draft S2503; Referred to SWM where no further action was taken </w:t>
            </w:r>
          </w:p>
          <w:p w:rsidR="00000000" w:rsidDel="00000000" w:rsidP="00000000" w:rsidRDefault="00000000" w:rsidRPr="00000000" w14:paraId="00000010">
            <w:pPr>
              <w:spacing w:after="0" w:before="0"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1">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S580/H906; Reported favorably by ENRA; referred to SWM where no further action was taken</w:t>
            </w:r>
          </w:p>
          <w:p w:rsidR="00000000" w:rsidDel="00000000" w:rsidP="00000000" w:rsidRDefault="00000000" w:rsidRPr="00000000" w14:paraId="00000012">
            <w:pPr>
              <w:spacing w:after="0" w:before="0"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3">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H851; Reported favorably by ENR; referred to HWM where no further action was taken</w:t>
            </w:r>
            <w:r w:rsidDel="00000000" w:rsidR="00000000" w:rsidRPr="00000000">
              <w:rPr>
                <w:rtl w:val="0"/>
              </w:rPr>
            </w:r>
          </w:p>
        </w:tc>
      </w:tr>
      <w:tr>
        <w:trPr>
          <w:cantSplit w:val="0"/>
          <w:trHeight w:val="39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6">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1: This bill amends Chapter 111 of MGL by adding a new section, Section 160H “The Safe Drinking Water at School Act.” Schools and child care centers must test all drinking water outlets for lead annually. Schools that have not previously tested under the state's </w:t>
            </w:r>
            <w:r w:rsidDel="00000000" w:rsidR="00000000" w:rsidRPr="00000000">
              <w:rPr>
                <w:rFonts w:ascii="Times New Roman" w:cs="Times New Roman" w:eastAsia="Times New Roman" w:hAnsi="Times New Roman"/>
                <w:sz w:val="24"/>
                <w:szCs w:val="24"/>
                <w:highlight w:val="white"/>
                <w:rtl w:val="0"/>
              </w:rPr>
              <w:t xml:space="preserve">Assistance Program for Lead in School Drinking Water, </w:t>
            </w:r>
            <w:r w:rsidDel="00000000" w:rsidR="00000000" w:rsidRPr="00000000">
              <w:rPr>
                <w:rFonts w:ascii="Times New Roman" w:cs="Times New Roman" w:eastAsia="Times New Roman" w:hAnsi="Times New Roman"/>
                <w:sz w:val="24"/>
                <w:szCs w:val="24"/>
                <w:rtl w:val="0"/>
              </w:rPr>
              <w:t xml:space="preserve">must complete initial testing within six months of the enactment of this bill.The Commissioner of the Department of Environmental Protection (DEP) may adjust testing frequency as needed.  </w:t>
            </w:r>
          </w:p>
          <w:p w:rsidR="00000000" w:rsidDel="00000000" w:rsidP="00000000" w:rsidRDefault="00000000" w:rsidRPr="00000000" w14:paraId="00000017">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Drinking water outlets that have elevated lead levels must be shut off immediately until two certified test results show safe levels. Certified point-of-use filters must be installed at all drinking water outlets (except water fountains) within 18 months of the enactment of this bill. Existing water fountains must be replaced with filtered bottle-filling stations at a rate of one per 75 students. Additionally, schools and child care centers must maintain filter maintenance and oversight schedules. If filters do not reduce lead levels, alternative remediation methods must be pursued. </w:t>
            </w:r>
          </w:p>
          <w:p w:rsidR="00000000" w:rsidDel="00000000" w:rsidP="00000000" w:rsidRDefault="00000000" w:rsidRPr="00000000" w14:paraId="00000019">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before="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 school or child care center may receive assistance from their local board of health, public water system, or the </w:t>
            </w:r>
            <w:r w:rsidDel="00000000" w:rsidR="00000000" w:rsidRPr="00000000">
              <w:rPr>
                <w:rFonts w:ascii="Times New Roman" w:cs="Times New Roman" w:eastAsia="Times New Roman" w:hAnsi="Times New Roman"/>
                <w:sz w:val="24"/>
                <w:szCs w:val="24"/>
                <w:rtl w:val="0"/>
              </w:rPr>
              <w:t xml:space="preserve">Department of Environmental Protection (DEP) in order to comply with these requirements. Each school and child care center will submit an action plan for preventing lead contamination of water, progress reports pertaining to this action plan, and will submit test results to both the DEP and the Department of Public Health (DPH). All of this information will be publicly shared on each school’s and child care center’s website. </w:t>
            </w:r>
          </w:p>
          <w:p w:rsidR="00000000" w:rsidDel="00000000" w:rsidP="00000000" w:rsidRDefault="00000000" w:rsidRPr="00000000" w14:paraId="0000001B">
            <w:pPr>
              <w:spacing w:after="0" w:before="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before="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teachers, and staff must be notified within one business day if elevated lead levels are found. This notice must contain a summary of the test results, remediation measures, potential health risks, and the contact information of the school’s or child care center’s employee contact designee. Each school and child care center must display warnings at drinking water outlets with elevated lead levels and post maintenance logs and test results. Non-drinking water outlets must be labeled as "not for drinking." </w:t>
            </w:r>
          </w:p>
          <w:p w:rsidR="00000000" w:rsidDel="00000000" w:rsidP="00000000" w:rsidRDefault="00000000" w:rsidRPr="00000000" w14:paraId="0000001D">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 can apply interim rules and regulations in order to implement this act. The DEP will issue guidance and standards aligned with EPA recommendations to each school district and child care center. If a school or child care center is unable to meet all requirements within this act, they can apply for a hardship waiver after notifying parents and holding a public meeting. </w:t>
            </w:r>
          </w:p>
          <w:p w:rsidR="00000000" w:rsidDel="00000000" w:rsidP="00000000" w:rsidRDefault="00000000" w:rsidRPr="00000000" w14:paraId="0000001F">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school or child care center has permanently eliminated lead in drinking water, then they are exempt from this act. </w:t>
            </w:r>
          </w:p>
          <w:p w:rsidR="00000000" w:rsidDel="00000000" w:rsidP="00000000" w:rsidRDefault="00000000" w:rsidRPr="00000000" w14:paraId="0000002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2: Amends MGL Chapter 29 section 2L to authorize funding for the implementation of the Safe Drinking Water at School Act within the Water Pollution Abatement Revolving Fund.</w:t>
            </w:r>
            <w:r w:rsidDel="00000000" w:rsidR="00000000" w:rsidRPr="00000000">
              <w:rPr>
                <w:rtl w:val="0"/>
              </w:rPr>
            </w:r>
          </w:p>
        </w:tc>
      </w:tr>
    </w:tbl>
    <w:p w:rsidR="00000000" w:rsidDel="00000000" w:rsidP="00000000" w:rsidRDefault="00000000" w:rsidRPr="00000000" w14:paraId="00000023">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