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992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municipal assistance for clean water and economic development infrastructure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Livingstone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establishes a $1 billion capital outlay program to fund maintenance and improvements for municipal drinking water systems, replacement of lead service lines, and upgrades to wastewater and stormwater infrastructure in Massachusetts. It creates a dedicated Water Infrastructure Improvement Fund, managed by the Massachusetts Clean Water Trust, which will provide grants to local governments following specific eligibility criteria and procedures, including asset management plans and cost-pricing programs. Funding allocations to municipalities will be determined by a formula based on road mileage, population, and employment. The state treasurer is authorized to issue bonds up to $1 billion to finance the program, with repayment guaranteed by the Commonwealth’s general fund, and bonds payable by June 30, 2053.</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