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336.5638766519824"/>
        <w:gridCol w:w="7023.436123348018"/>
        <w:tblGridChange w:id="0">
          <w:tblGrid>
            <w:gridCol w:w="2336.5638766519824"/>
            <w:gridCol w:w="7023.436123348018"/>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994</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regulating the application of fertilizer used in the town of Orleans </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Luddy of Brookline</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New file as H874 (Rep. Peake); reported favorably by ENR and discharged to House Steering, Policy and Scheduling; Read third and no further action taken. </w:t>
            </w:r>
          </w:p>
        </w:tc>
      </w:tr>
      <w:tr>
        <w:trPr>
          <w:cantSplit w:val="0"/>
          <w:trHeight w:val="18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Home Rule Petition prohibits the use of fertilizer containing nitrogen or phosphorus, or any other pollutants in the Town of Orleans except for the purposes of commercial agricultural and the residential use of certified organic fertilizer with low nitrogen and phosphorus for the use in growing fruits and vegetables that is allowable under the USDA National Organic Program organic standards </w:t>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