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Public Safety and Homeland Security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2680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to improve public health and safety standards in communities around aging nuclear power plants and high-level nuclear waste dump sites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Fernandes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First time file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SES 1950:639:2B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-Amends Section 2B of Chapter 639 of the Acts of 1950 by defining a "nuclear power plant area" to include all communities located within a 50-mile radius of a nuclear power plant, regardless of whether the plant is active or inactive.</w:t>
            </w:r>
          </w:p>
          <w:p>
            <w:pPr>
              <w:pStyle w:val="NormalWeb"/>
              <w:spacing w:line="240" w:lineRule="auto"/>
            </w:pPr>
            <w:r>
              <w:t xml:space="preserve">- Designation applies if the plant stores nuclear waste in either a spent fuel pool or an Independent Spent Fuel Storage Installation.</w:t>
            </w:r>
          </w:p>
          <w:p>
            <w:pPr>
              <w:pStyle w:val="NormalWeb"/>
              <w:spacing w:line="240" w:lineRule="auto"/>
            </w:pPr>
            <w:r>
              <w:t xml:space="preserve">-Defined status of these areas remains in effect until all nuclear waste is completely removed from the site. </w:t>
            </w:r>
          </w:p>
          <w:p>
            <w:pPr>
              <w:pStyle w:val="NormalWeb"/>
              <w:spacing w:line="240" w:lineRule="auto"/>
            </w:pPr>
            <w:r>
              <w:t xml:space="preserve">- Authorizes assessments to be levied against both active and inactive nuclear facilities that store spent nuclear fuel, high-level waste, or other nuclear materials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