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064FB" w14:textId="77777777" w:rsidR="00434027" w:rsidRDefault="00434027" w:rsidP="00434027">
      <w:pPr>
        <w:rPr>
          <w:rFonts w:ascii="Inter" w:hAnsi="Inter"/>
        </w:rPr>
      </w:pPr>
      <w:r>
        <w:rPr>
          <w:rFonts w:ascii="Inter" w:hAnsi="Inter"/>
        </w:rPr>
        <w:t xml:space="preserve">Dear Committee Members, </w:t>
      </w:r>
    </w:p>
    <w:p w14:paraId="202EF1EA" w14:textId="77777777" w:rsidR="00434027" w:rsidRDefault="00434027" w:rsidP="00434027">
      <w:pPr>
        <w:rPr>
          <w:rFonts w:ascii="Inter" w:hAnsi="Inter"/>
        </w:rPr>
      </w:pPr>
      <w:r>
        <w:rPr>
          <w:rFonts w:ascii="Inter" w:hAnsi="Inter"/>
        </w:rPr>
        <w:t xml:space="preserve">We are writing to express our strong support for </w:t>
      </w:r>
      <w:r>
        <w:rPr>
          <w:rFonts w:ascii="Inter" w:hAnsi="Inter"/>
          <w:b/>
          <w:bCs/>
        </w:rPr>
        <w:t>H780</w:t>
      </w:r>
      <w:r>
        <w:rPr>
          <w:rFonts w:ascii="Inter" w:hAnsi="Inter"/>
        </w:rPr>
        <w:t xml:space="preserve"> </w:t>
      </w:r>
      <w:r>
        <w:rPr>
          <w:rFonts w:ascii="Inter" w:hAnsi="Inter"/>
          <w:b/>
          <w:bCs/>
        </w:rPr>
        <w:t>– An Act Establishing the Hospital to Home Partnership Program</w:t>
      </w:r>
      <w:r>
        <w:rPr>
          <w:rFonts w:ascii="Inter" w:hAnsi="Inter"/>
        </w:rPr>
        <w:t xml:space="preserve"> and </w:t>
      </w:r>
      <w:r>
        <w:rPr>
          <w:rFonts w:ascii="Inter" w:hAnsi="Inter"/>
          <w:b/>
          <w:bCs/>
        </w:rPr>
        <w:t>S495 An Act Codifying the Hospital to Home Partnership Program</w:t>
      </w:r>
      <w:r>
        <w:rPr>
          <w:rFonts w:ascii="Inter" w:hAnsi="Inter"/>
        </w:rPr>
        <w:t>. This legislation will be instrumental in improving healthcare transitions, reducing unnecessary institutional placements, and ensuring individuals receive the community-based care they need.</w:t>
      </w:r>
    </w:p>
    <w:p w14:paraId="440353E2" w14:textId="77777777" w:rsidR="00434027" w:rsidRDefault="00434027" w:rsidP="00434027">
      <w:pPr>
        <w:rPr>
          <w:rFonts w:ascii="Inter" w:hAnsi="Inter"/>
        </w:rPr>
      </w:pPr>
      <w:r>
        <w:rPr>
          <w:rFonts w:ascii="Inter" w:hAnsi="Inter"/>
        </w:rPr>
        <w:t xml:space="preserve">By fostering partnerships between acute-care hospitals and Aging Services Access Points (ASAPs), </w:t>
      </w:r>
      <w:r>
        <w:rPr>
          <w:rFonts w:ascii="Inter" w:hAnsi="Inter"/>
          <w:b/>
          <w:bCs/>
        </w:rPr>
        <w:t>H780</w:t>
      </w:r>
      <w:r>
        <w:rPr>
          <w:rFonts w:ascii="Inter" w:hAnsi="Inter"/>
        </w:rPr>
        <w:t xml:space="preserve"> and </w:t>
      </w:r>
      <w:r>
        <w:rPr>
          <w:rFonts w:ascii="Inter" w:hAnsi="Inter"/>
          <w:b/>
          <w:bCs/>
        </w:rPr>
        <w:t>S495</w:t>
      </w:r>
      <w:r>
        <w:rPr>
          <w:rFonts w:ascii="Inter" w:hAnsi="Inter"/>
        </w:rPr>
        <w:t xml:space="preserve"> will strengthen coordination efforts, allowing patients to safely transition back to their homes instead of being placed in nursing homes. The inclusion of dedicated ASAP staff members within hospitals will provide patients with much-needed guidance and access to home-based services.</w:t>
      </w:r>
      <w:r>
        <w:t xml:space="preserve"> </w:t>
      </w:r>
      <w:r>
        <w:rPr>
          <w:rFonts w:ascii="Inter" w:hAnsi="Inter"/>
        </w:rPr>
        <w:t>The requirement for ASAP staff members to serve as Home and Community-Based Services (HCBS) Hospital Liaisons is particularly vital in helping patients access critical services that promote independence and well-being. Liaisons bring a wealth of community resource knowledge and with the liaison embedded at the hospital, this role bridges the gap of communication between the ASAP and the hospital.</w:t>
      </w:r>
    </w:p>
    <w:p w14:paraId="4EB5CF94" w14:textId="77777777" w:rsidR="00434027" w:rsidRDefault="00434027" w:rsidP="00434027">
      <w:pPr>
        <w:rPr>
          <w:rFonts w:ascii="Inter" w:hAnsi="Inter"/>
        </w:rPr>
      </w:pPr>
      <w:r>
        <w:rPr>
          <w:rFonts w:ascii="Inter" w:hAnsi="Inter"/>
        </w:rPr>
        <w:t>This bill is essential for improving patient outcomes and enhancing the efficiency of hospital discharges. It not only aligns with best practices for patient-centered care but also reduces the strain on institutional settings by empowering individuals to recover in familiar environments with appropriate support.</w:t>
      </w:r>
      <w:r>
        <w:t xml:space="preserve"> </w:t>
      </w:r>
      <w:r>
        <w:rPr>
          <w:rFonts w:ascii="Inter" w:hAnsi="Inter"/>
        </w:rPr>
        <w:t>Codifying this program into law will reinforce its effectiveness and sustainability, leading to improved patient outcomes and reduced healthcare costs.</w:t>
      </w:r>
    </w:p>
    <w:p w14:paraId="2FE94FBC" w14:textId="77777777" w:rsidR="00434027" w:rsidRDefault="00434027" w:rsidP="00434027">
      <w:pPr>
        <w:rPr>
          <w:rFonts w:ascii="Inter" w:hAnsi="Inter"/>
        </w:rPr>
      </w:pPr>
      <w:r>
        <w:rPr>
          <w:rFonts w:ascii="Inter" w:hAnsi="Inter"/>
        </w:rPr>
        <w:t xml:space="preserve">I urge you and your colleagues to advance </w:t>
      </w:r>
      <w:r>
        <w:rPr>
          <w:rFonts w:ascii="Inter" w:hAnsi="Inter"/>
          <w:b/>
          <w:bCs/>
        </w:rPr>
        <w:t>H780</w:t>
      </w:r>
      <w:r>
        <w:rPr>
          <w:rFonts w:ascii="Inter" w:hAnsi="Inter"/>
        </w:rPr>
        <w:t xml:space="preserve"> and </w:t>
      </w:r>
      <w:r>
        <w:rPr>
          <w:rFonts w:ascii="Inter" w:hAnsi="Inter"/>
          <w:b/>
          <w:bCs/>
        </w:rPr>
        <w:t>S495</w:t>
      </w:r>
      <w:r>
        <w:rPr>
          <w:rFonts w:ascii="Inter" w:hAnsi="Inter"/>
        </w:rPr>
        <w:t xml:space="preserve"> through the legislative process and ensure its passage. </w:t>
      </w:r>
    </w:p>
    <w:p w14:paraId="24A4B983" w14:textId="77777777" w:rsidR="00434027" w:rsidRDefault="00434027" w:rsidP="00434027">
      <w:pPr>
        <w:rPr>
          <w:rFonts w:ascii="Inter" w:hAnsi="Inter"/>
        </w:rPr>
      </w:pPr>
      <w:r>
        <w:rPr>
          <w:rFonts w:ascii="Inter" w:hAnsi="Inter"/>
        </w:rPr>
        <w:t>Thank you for your leadership on this important issue.</w:t>
      </w:r>
    </w:p>
    <w:p w14:paraId="0E3707F0" w14:textId="77777777" w:rsidR="004420ED" w:rsidRDefault="00434027" w:rsidP="004420ED">
      <w:pPr>
        <w:rPr>
          <w:rFonts w:ascii="Inter" w:hAnsi="Inter"/>
        </w:rPr>
      </w:pPr>
      <w:r>
        <w:rPr>
          <w:rFonts w:ascii="Inter" w:hAnsi="Inter"/>
        </w:rPr>
        <w:tab/>
        <w:t>Sincerely,</w:t>
      </w:r>
    </w:p>
    <w:p w14:paraId="361C5BB1" w14:textId="77777777" w:rsidR="004420ED" w:rsidRDefault="004420ED" w:rsidP="004420ED">
      <w:pPr>
        <w:rPr>
          <w:rFonts w:ascii="Inter" w:hAnsi="Inter"/>
        </w:rPr>
      </w:pPr>
    </w:p>
    <w:p w14:paraId="5FFEFA1C" w14:textId="7F35B6EE" w:rsidR="004420ED" w:rsidRPr="004420ED" w:rsidRDefault="004420ED" w:rsidP="004420ED">
      <w:pPr>
        <w:rPr>
          <w:rFonts w:ascii="Inter" w:hAnsi="Inter"/>
        </w:rPr>
      </w:pPr>
      <w:r w:rsidRPr="004420ED">
        <w:rPr>
          <w:rFonts w:ascii="Inter" w:hAnsi="Inter"/>
        </w:rPr>
        <w:t>Annemarie Beauparlant M. Ed</w:t>
      </w:r>
    </w:p>
    <w:p w14:paraId="53CDE74D" w14:textId="1F241FFF" w:rsidR="004420ED" w:rsidRDefault="004420ED" w:rsidP="004420ED">
      <w:pPr>
        <w:rPr>
          <w:rFonts w:ascii="Inter" w:hAnsi="Inter"/>
        </w:rPr>
      </w:pPr>
      <w:r>
        <w:rPr>
          <w:rFonts w:ascii="Inter" w:hAnsi="Inter"/>
        </w:rPr>
        <w:t>Director of Long-Term Service and Support Programs</w:t>
      </w:r>
    </w:p>
    <w:p w14:paraId="1D2F5ABA" w14:textId="77777777" w:rsidR="004420ED" w:rsidRDefault="004420ED" w:rsidP="004420ED">
      <w:pPr>
        <w:rPr>
          <w:rFonts w:ascii="Inter" w:hAnsi="Inter"/>
        </w:rPr>
      </w:pPr>
      <w:r>
        <w:rPr>
          <w:rFonts w:ascii="Inter" w:hAnsi="Inter"/>
        </w:rPr>
        <w:t>AgeSpan</w:t>
      </w:r>
    </w:p>
    <w:p w14:paraId="3CB85EAC" w14:textId="77777777" w:rsidR="004420ED" w:rsidRDefault="004420ED" w:rsidP="004420ED">
      <w:pPr>
        <w:rPr>
          <w:rFonts w:ascii="Inter" w:hAnsi="Inter"/>
        </w:rPr>
      </w:pPr>
      <w:r>
        <w:rPr>
          <w:rFonts w:ascii="Inter" w:hAnsi="Inter"/>
        </w:rPr>
        <w:t>300 Rosewood Drive, Suite 200, Danvers, MA 01923</w:t>
      </w:r>
    </w:p>
    <w:p w14:paraId="1F8215E8" w14:textId="77777777" w:rsidR="004420ED" w:rsidRDefault="004420ED" w:rsidP="004420ED">
      <w:pPr>
        <w:rPr>
          <w:rFonts w:ascii="Inter" w:hAnsi="Inter"/>
        </w:rPr>
      </w:pPr>
      <w:r>
        <w:rPr>
          <w:rFonts w:ascii="Inter" w:hAnsi="Inter"/>
        </w:rPr>
        <w:t>Direct: 978-624-2205</w:t>
      </w:r>
    </w:p>
    <w:p w14:paraId="5C8F1A2E" w14:textId="77777777" w:rsidR="004420ED" w:rsidRDefault="004420ED" w:rsidP="004420ED">
      <w:pPr>
        <w:rPr>
          <w:rFonts w:ascii="Inter" w:hAnsi="Inter"/>
        </w:rPr>
      </w:pPr>
      <w:r>
        <w:rPr>
          <w:rFonts w:ascii="Inter" w:hAnsi="Inter"/>
        </w:rPr>
        <w:t>Main: 978-750-4540 or 800-892-0890</w:t>
      </w:r>
    </w:p>
    <w:p w14:paraId="22E23B6B" w14:textId="78EC39B0" w:rsidR="008625B5" w:rsidRDefault="008625B5" w:rsidP="00434027">
      <w:pPr>
        <w:rPr>
          <w:rFonts w:ascii="Inter" w:hAnsi="Inter"/>
        </w:rPr>
      </w:pPr>
    </w:p>
    <w:p w14:paraId="0610254D" w14:textId="77777777" w:rsidR="004420ED" w:rsidRDefault="004420ED" w:rsidP="00434027">
      <w:pPr>
        <w:rPr>
          <w:rFonts w:ascii="Inter" w:hAnsi="Inter"/>
        </w:rPr>
      </w:pPr>
    </w:p>
    <w:p w14:paraId="41E79E26" w14:textId="77777777" w:rsidR="004420ED" w:rsidRDefault="004420ED" w:rsidP="00434027">
      <w:pPr>
        <w:jc w:val="center"/>
        <w:rPr>
          <w:rFonts w:ascii="Inter" w:hAnsi="Inter"/>
        </w:rPr>
      </w:pPr>
    </w:p>
    <w:p w14:paraId="7B20E507" w14:textId="6271C6E1" w:rsidR="00434027" w:rsidRPr="00434027" w:rsidRDefault="00434027" w:rsidP="00434027">
      <w:pPr>
        <w:jc w:val="center"/>
        <w:rPr>
          <w:rFonts w:ascii="Inter" w:hAnsi="Inter"/>
          <w:b/>
          <w:bCs/>
        </w:rPr>
      </w:pPr>
      <w:r w:rsidRPr="00434027">
        <w:rPr>
          <w:rFonts w:ascii="Inter" w:hAnsi="Inter"/>
          <w:b/>
          <w:bCs/>
        </w:rPr>
        <w:t>Case Study</w:t>
      </w:r>
    </w:p>
    <w:p w14:paraId="7103CA71" w14:textId="4E5668A5" w:rsidR="00434027" w:rsidRPr="00434027" w:rsidRDefault="00434027" w:rsidP="00434027">
      <w:pPr>
        <w:jc w:val="center"/>
        <w:rPr>
          <w:rFonts w:ascii="Inter" w:hAnsi="Inter"/>
          <w:b/>
          <w:bCs/>
        </w:rPr>
      </w:pPr>
      <w:r w:rsidRPr="00434027">
        <w:rPr>
          <w:rFonts w:ascii="Inter" w:hAnsi="Inter"/>
          <w:b/>
          <w:bCs/>
        </w:rPr>
        <w:t>AgeSpan and Tufts Lowell General Hospital</w:t>
      </w:r>
    </w:p>
    <w:p w14:paraId="4950C6B6" w14:textId="77777777" w:rsidR="00434027" w:rsidRPr="00434027" w:rsidRDefault="00434027" w:rsidP="00434027">
      <w:pPr>
        <w:rPr>
          <w:rFonts w:ascii="Inter" w:hAnsi="Inter"/>
        </w:rPr>
      </w:pPr>
      <w:r w:rsidRPr="00434027">
        <w:rPr>
          <w:rFonts w:ascii="Inter" w:hAnsi="Inter"/>
        </w:rPr>
        <w:lastRenderedPageBreak/>
        <w:t>82-year-old female admitted to Lowell General Saints Hospital for pneumonia in December 2024. Consumer was in the hospital until end of January 2025, due to concerns regarding a safe discharge plan and the family dynamic. Financial issues restricted accessibility to short term rehab and the only option was a discharge home. She lives with her daughter whose is living with a physical disability which restricts her ability to physically support her mom and provide the care that she needed.</w:t>
      </w:r>
    </w:p>
    <w:p w14:paraId="4ACB3F1C" w14:textId="225FED92" w:rsidR="00434027" w:rsidRPr="009E0BD3" w:rsidRDefault="00434027" w:rsidP="00434027">
      <w:pPr>
        <w:rPr>
          <w:rFonts w:ascii="Inter" w:hAnsi="Inter"/>
        </w:rPr>
      </w:pPr>
      <w:r w:rsidRPr="00434027">
        <w:rPr>
          <w:rFonts w:ascii="Inter" w:hAnsi="Inter"/>
        </w:rPr>
        <w:t>Upon first meeting, consumer strongly refused home and community-based services</w:t>
      </w:r>
      <w:r>
        <w:rPr>
          <w:rFonts w:ascii="Inter" w:hAnsi="Inter"/>
        </w:rPr>
        <w:t xml:space="preserve"> and at times was combative but</w:t>
      </w:r>
      <w:r w:rsidRPr="00434027">
        <w:rPr>
          <w:rFonts w:ascii="Inter" w:hAnsi="Inter"/>
        </w:rPr>
        <w:t xml:space="preserve"> allowed</w:t>
      </w:r>
      <w:r>
        <w:rPr>
          <w:rFonts w:ascii="Inter" w:hAnsi="Inter"/>
        </w:rPr>
        <w:t xml:space="preserve"> liaison</w:t>
      </w:r>
      <w:r w:rsidRPr="00434027">
        <w:rPr>
          <w:rFonts w:ascii="Inter" w:hAnsi="Inter"/>
        </w:rPr>
        <w:t xml:space="preserve"> to continue to visit. </w:t>
      </w:r>
      <w:r>
        <w:rPr>
          <w:rFonts w:ascii="Inter" w:hAnsi="Inter"/>
        </w:rPr>
        <w:t xml:space="preserve">After many bed side visits and gaining the trust of the patient, the liaison was able to get the patient to agree to services in the home. </w:t>
      </w:r>
      <w:r w:rsidRPr="00434027">
        <w:rPr>
          <w:rFonts w:ascii="Inter" w:hAnsi="Inter"/>
        </w:rPr>
        <w:t>AgeSpan was able to expedite her assessment through the Home Care department as well as provide a copay waiver, thus ensuring that the consumer would have access to the services she needs to stay in her home.</w:t>
      </w:r>
      <w:r>
        <w:rPr>
          <w:rFonts w:ascii="Inter" w:hAnsi="Inter"/>
        </w:rPr>
        <w:t xml:space="preserve"> The consumer is now home with HHA services and MOWs </w:t>
      </w:r>
      <w:r w:rsidR="00DD69C8">
        <w:rPr>
          <w:rFonts w:ascii="Inter" w:hAnsi="Inter"/>
        </w:rPr>
        <w:t xml:space="preserve"> with ongoing care management </w:t>
      </w:r>
      <w:r>
        <w:rPr>
          <w:rFonts w:ascii="Inter" w:hAnsi="Inter"/>
        </w:rPr>
        <w:t xml:space="preserve">and </w:t>
      </w:r>
      <w:r w:rsidR="00DD69C8">
        <w:rPr>
          <w:rFonts w:ascii="Inter" w:hAnsi="Inter"/>
        </w:rPr>
        <w:t xml:space="preserve">currently has no </w:t>
      </w:r>
      <w:r>
        <w:rPr>
          <w:rFonts w:ascii="Inter" w:hAnsi="Inter"/>
        </w:rPr>
        <w:t xml:space="preserve">readmissions. </w:t>
      </w:r>
    </w:p>
    <w:sectPr w:rsidR="00434027" w:rsidRPr="009E0B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nter">
    <w:altName w:val="Calibri"/>
    <w:panose1 w:val="00000000000000000000"/>
    <w:charset w:val="00"/>
    <w:family w:val="modern"/>
    <w:notTrueType/>
    <w:pitch w:val="variable"/>
    <w:sig w:usb0="E0000AFF" w:usb1="5200A1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027"/>
    <w:rsid w:val="000D1015"/>
    <w:rsid w:val="0019128C"/>
    <w:rsid w:val="00434027"/>
    <w:rsid w:val="004420ED"/>
    <w:rsid w:val="004A29BA"/>
    <w:rsid w:val="005B04D8"/>
    <w:rsid w:val="008625B5"/>
    <w:rsid w:val="009E0BD3"/>
    <w:rsid w:val="00D515F6"/>
    <w:rsid w:val="00DD6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84DFE"/>
  <w15:chartTrackingRefBased/>
  <w15:docId w15:val="{B345FA87-A436-488A-A0FA-5146A5464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027"/>
    <w:pPr>
      <w:spacing w:line="256" w:lineRule="auto"/>
    </w:pPr>
  </w:style>
  <w:style w:type="paragraph" w:styleId="Heading1">
    <w:name w:val="heading 1"/>
    <w:basedOn w:val="Normal"/>
    <w:next w:val="Normal"/>
    <w:link w:val="Heading1Char"/>
    <w:uiPriority w:val="9"/>
    <w:qFormat/>
    <w:rsid w:val="00434027"/>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34027"/>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34027"/>
    <w:pPr>
      <w:keepNext/>
      <w:keepLines/>
      <w:spacing w:before="160" w:after="80" w:line="259"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34027"/>
    <w:pPr>
      <w:keepNext/>
      <w:keepLines/>
      <w:spacing w:before="80" w:after="40" w:line="259"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34027"/>
    <w:pPr>
      <w:keepNext/>
      <w:keepLines/>
      <w:spacing w:before="80" w:after="40" w:line="259"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34027"/>
    <w:pPr>
      <w:keepNext/>
      <w:keepLines/>
      <w:spacing w:before="40" w:after="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4027"/>
    <w:pPr>
      <w:keepNext/>
      <w:keepLines/>
      <w:spacing w:before="40" w:after="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4027"/>
    <w:pPr>
      <w:keepNext/>
      <w:keepLines/>
      <w:spacing w:after="0"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4027"/>
    <w:pPr>
      <w:keepNext/>
      <w:keepLines/>
      <w:spacing w:after="0"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402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3402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3402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3402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3402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340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40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40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4027"/>
    <w:rPr>
      <w:rFonts w:eastAsiaTheme="majorEastAsia" w:cstheme="majorBidi"/>
      <w:color w:val="272727" w:themeColor="text1" w:themeTint="D8"/>
    </w:rPr>
  </w:style>
  <w:style w:type="paragraph" w:styleId="Title">
    <w:name w:val="Title"/>
    <w:basedOn w:val="Normal"/>
    <w:next w:val="Normal"/>
    <w:link w:val="TitleChar"/>
    <w:uiPriority w:val="10"/>
    <w:qFormat/>
    <w:rsid w:val="004340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40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4027"/>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40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4027"/>
    <w:pPr>
      <w:spacing w:before="160" w:line="259" w:lineRule="auto"/>
      <w:jc w:val="center"/>
    </w:pPr>
    <w:rPr>
      <w:i/>
      <w:iCs/>
      <w:color w:val="404040" w:themeColor="text1" w:themeTint="BF"/>
    </w:rPr>
  </w:style>
  <w:style w:type="character" w:customStyle="1" w:styleId="QuoteChar">
    <w:name w:val="Quote Char"/>
    <w:basedOn w:val="DefaultParagraphFont"/>
    <w:link w:val="Quote"/>
    <w:uiPriority w:val="29"/>
    <w:rsid w:val="00434027"/>
    <w:rPr>
      <w:i/>
      <w:iCs/>
      <w:color w:val="404040" w:themeColor="text1" w:themeTint="BF"/>
    </w:rPr>
  </w:style>
  <w:style w:type="paragraph" w:styleId="ListParagraph">
    <w:name w:val="List Paragraph"/>
    <w:basedOn w:val="Normal"/>
    <w:uiPriority w:val="34"/>
    <w:qFormat/>
    <w:rsid w:val="00434027"/>
    <w:pPr>
      <w:spacing w:line="259" w:lineRule="auto"/>
      <w:ind w:left="720"/>
      <w:contextualSpacing/>
    </w:pPr>
  </w:style>
  <w:style w:type="character" w:styleId="IntenseEmphasis">
    <w:name w:val="Intense Emphasis"/>
    <w:basedOn w:val="DefaultParagraphFont"/>
    <w:uiPriority w:val="21"/>
    <w:qFormat/>
    <w:rsid w:val="00434027"/>
    <w:rPr>
      <w:i/>
      <w:iCs/>
      <w:color w:val="2F5496" w:themeColor="accent1" w:themeShade="BF"/>
    </w:rPr>
  </w:style>
  <w:style w:type="paragraph" w:styleId="IntenseQuote">
    <w:name w:val="Intense Quote"/>
    <w:basedOn w:val="Normal"/>
    <w:next w:val="Normal"/>
    <w:link w:val="IntenseQuoteChar"/>
    <w:uiPriority w:val="30"/>
    <w:qFormat/>
    <w:rsid w:val="00434027"/>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34027"/>
    <w:rPr>
      <w:i/>
      <w:iCs/>
      <w:color w:val="2F5496" w:themeColor="accent1" w:themeShade="BF"/>
    </w:rPr>
  </w:style>
  <w:style w:type="character" w:styleId="IntenseReference">
    <w:name w:val="Intense Reference"/>
    <w:basedOn w:val="DefaultParagraphFont"/>
    <w:uiPriority w:val="32"/>
    <w:qFormat/>
    <w:rsid w:val="004340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487679">
      <w:bodyDiv w:val="1"/>
      <w:marLeft w:val="0"/>
      <w:marRight w:val="0"/>
      <w:marTop w:val="0"/>
      <w:marBottom w:val="0"/>
      <w:divBdr>
        <w:top w:val="none" w:sz="0" w:space="0" w:color="auto"/>
        <w:left w:val="none" w:sz="0" w:space="0" w:color="auto"/>
        <w:bottom w:val="none" w:sz="0" w:space="0" w:color="auto"/>
        <w:right w:val="none" w:sz="0" w:space="0" w:color="auto"/>
      </w:divBdr>
    </w:div>
    <w:div w:id="1218398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6D0E22A6DD59479B602758F786A0E9" ma:contentTypeVersion="18" ma:contentTypeDescription="Create a new document." ma:contentTypeScope="" ma:versionID="85e036a91141872aa7d3ad6f2b8ff797">
  <xsd:schema xmlns:xsd="http://www.w3.org/2001/XMLSchema" xmlns:xs="http://www.w3.org/2001/XMLSchema" xmlns:p="http://schemas.microsoft.com/office/2006/metadata/properties" xmlns:ns1="http://schemas.microsoft.com/sharepoint/v3" xmlns:ns2="0bf13305-2ad3-47fc-b32f-9b4df29da98c" xmlns:ns3="e847d9e2-e67d-4e78-9623-607caff446f9" targetNamespace="http://schemas.microsoft.com/office/2006/metadata/properties" ma:root="true" ma:fieldsID="a82b4c2889b96dfe59fa8ec7a6016c4c" ns1:_="" ns2:_="" ns3:_="">
    <xsd:import namespace="http://schemas.microsoft.com/sharepoint/v3"/>
    <xsd:import namespace="0bf13305-2ad3-47fc-b32f-9b4df29da98c"/>
    <xsd:import namespace="e847d9e2-e67d-4e78-9623-607caff446f9"/>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1:_ip_UnifiedCompliancePolicyProperties" minOccurs="0"/>
                <xsd:element ref="ns1:_ip_UnifiedCompliancePolicyUIAction" minOccurs="0"/>
                <xsd:element ref="ns3:SharedWithUsers" minOccurs="0"/>
                <xsd:element ref="ns3:SharedWithDetails" minOccurs="0"/>
                <xsd:element ref="ns2:MediaServiceOCR"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f13305-2ad3-47fc-b32f-9b4df29da9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147fd38-1f12-454d-9cf0-a7a4989751b6"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47d9e2-e67d-4e78-9623-607caff446f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ddeaa9c-989b-4b0f-9a89-2aa4f9f4bf64}" ma:internalName="TaxCatchAll" ma:showField="CatchAllData" ma:web="e847d9e2-e67d-4e78-9623-607caff446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0bf13305-2ad3-47fc-b32f-9b4df29da98c">
      <Terms xmlns="http://schemas.microsoft.com/office/infopath/2007/PartnerControls"/>
    </lcf76f155ced4ddcb4097134ff3c332f>
    <TaxCatchAll xmlns="e847d9e2-e67d-4e78-9623-607caff446f9"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A4E2BFE-1412-4CCF-9A00-FFAF8087518F}"/>
</file>

<file path=customXml/itemProps2.xml><?xml version="1.0" encoding="utf-8"?>
<ds:datastoreItem xmlns:ds="http://schemas.openxmlformats.org/officeDocument/2006/customXml" ds:itemID="{0687A4F7-EBD8-438B-844F-6FD2F5EAEF73}"/>
</file>

<file path=customXml/itemProps3.xml><?xml version="1.0" encoding="utf-8"?>
<ds:datastoreItem xmlns:ds="http://schemas.openxmlformats.org/officeDocument/2006/customXml" ds:itemID="{50644C7E-CA1F-46D5-A306-0748F93D739C}"/>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2723</Characters>
  <Application>Microsoft Office Word</Application>
  <DocSecurity>4</DocSecurity>
  <Lines>22</Lines>
  <Paragraphs>6</Paragraphs>
  <ScaleCrop>false</ScaleCrop>
  <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Beauparlant</dc:creator>
  <cp:keywords/>
  <dc:description/>
  <cp:lastModifiedBy>Fernandez, Julianna (HOU)</cp:lastModifiedBy>
  <cp:revision>2</cp:revision>
  <dcterms:created xsi:type="dcterms:W3CDTF">2025-05-12T19:05:00Z</dcterms:created>
  <dcterms:modified xsi:type="dcterms:W3CDTF">2025-05-12T19:05:00Z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0x010100586D0E22A6DD59479B602758F786A0E9</vt:lpwstr>
  </property>
</Properties>
</file>