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 882</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sz w:val="24"/>
          <w:szCs w:val="24"/>
          <w:rtl w:val="0"/>
        </w:rPr>
        <w:t xml:space="preserve">An Act updating political terminology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Susannah M. Whipps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pBdr>
          <w:top w:color="auto" w:space="0" w:sz="0" w:val="none"/>
          <w:left w:color="auto" w:space="-36" w:sz="0" w:val="none"/>
          <w:bottom w:color="auto" w:space="0" w:sz="0" w:val="none"/>
          <w:right w:color="auto" w:space="0" w:sz="0" w:val="none"/>
          <w:between w:color="auto" w:space="0" w:sz="0" w:val="none"/>
        </w:pBdr>
        <w:shd w:fill="ffffff" w:val="clea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2023-24 (H.731): Ordered to a House Study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2021-22 (H.844): Ordered to a House Study</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''Political designation'' shall apply to any designation required in section 8 of chapter 53, expressed in not more than three words, which a candidate for nomination under section 6 of chapter 53 represents, and to any designation expressed in not more than three words to qualify a political party under this section, filed by fifty registered voters with the secretary of state on a form provided by him or her, requesting that such voters, and any others wishing to do so, may change their registration to such designation, provided however, that the designation ''Independent'' shall not be used. Certificates showing that each of the signers of said request is a registered voter at the stated address, signed by the city or town clerk shall accompany the petition. Any such request filed before December first in the year of a biennial state election shall not be effective until said December first.</w:t>
      </w: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Fonts w:ascii="Times New Roman" w:cs="Times New Roman" w:eastAsia="Times New Roman" w:hAnsi="Times New Roman"/>
          <w:rtl w:val="0"/>
        </w:rPr>
        <w:t xml:space="preserve">This legislation amends the General Laws to clarify the use of the term “Independent” and to adjust voter enrollment and primary ballot rules. In Section 1 of Chapter 50, it redefines “political designation” to prohibit use of the word “Independent” in names of political designations, reserving “Independent” exclusively for unenrolled voters. In Section 6 of Chapter 53, it replaces the term “Unenrolled” with “Independent” to describe candidates not affiliated with a political party. A new Section 38 of Chapter 53 allows voters to change, cancel, or establish their political enrollment except during the 20 days before a primary and confirms that voters in political designations that are not recognized parties are treated as independents for the purpose of choosing a party ballot. The section also outlines procedures for correcting erroneous enrollment and ensures that party affiliation does not restrict participation in city or town primaries.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