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87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4450"/>
        <w:gridCol w:w="5167"/>
        <w:gridCol w:w="6"/>
      </w:tblGrid>
      <w:tr w:rsidR="009209AB" w:rsidRPr="00440211" w14:paraId="78A711B6" w14:textId="77777777" w:rsidTr="009209AB">
        <w:trPr>
          <w:gridAfter w:val="1"/>
          <w:wAfter w:w="6" w:type="dxa"/>
        </w:trPr>
        <w:tc>
          <w:tcPr>
            <w:tcW w:w="2256" w:type="dxa"/>
            <w:vMerge w:val="restart"/>
            <w:tcBorders>
              <w:top w:val="nil"/>
              <w:left w:val="nil"/>
              <w:bottom w:val="nil"/>
              <w:right w:val="nil"/>
            </w:tcBorders>
          </w:tcPr>
          <w:p w14:paraId="5F76FAEC" w14:textId="7612860F" w:rsidR="009209AB" w:rsidRPr="00440211" w:rsidRDefault="009209AB" w:rsidP="005C535E">
            <w:pPr>
              <w:ind w:left="180" w:right="630"/>
              <w:jc w:val="center"/>
              <w:rPr>
                <w:color w:val="0000FF"/>
              </w:rPr>
            </w:pPr>
            <w:r w:rsidRPr="003255C1">
              <w:rPr>
                <w:noProof/>
              </w:rPr>
              <w:drawing>
                <wp:inline distT="0" distB="0" distL="0" distR="0" wp14:anchorId="10A3300C" wp14:editId="7FD05324">
                  <wp:extent cx="781050" cy="730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730250"/>
                          </a:xfrm>
                          <a:prstGeom prst="rect">
                            <a:avLst/>
                          </a:prstGeom>
                          <a:noFill/>
                          <a:ln>
                            <a:noFill/>
                          </a:ln>
                        </pic:spPr>
                      </pic:pic>
                    </a:graphicData>
                  </a:graphic>
                </wp:inline>
              </w:drawing>
            </w:r>
          </w:p>
        </w:tc>
        <w:tc>
          <w:tcPr>
            <w:tcW w:w="9617" w:type="dxa"/>
            <w:gridSpan w:val="2"/>
            <w:tcBorders>
              <w:top w:val="nil"/>
              <w:left w:val="nil"/>
              <w:bottom w:val="nil"/>
              <w:right w:val="nil"/>
            </w:tcBorders>
          </w:tcPr>
          <w:p w14:paraId="72852345" w14:textId="77777777" w:rsidR="009209AB" w:rsidRPr="00DE4ABB" w:rsidRDefault="009209AB" w:rsidP="009209AB">
            <w:pPr>
              <w:ind w:left="-310" w:right="630"/>
              <w:rPr>
                <w:rFonts w:ascii="Algerian" w:hAnsi="Algerian"/>
                <w:color w:val="000080"/>
                <w:sz w:val="32"/>
                <w:szCs w:val="32"/>
              </w:rPr>
            </w:pPr>
            <w:r w:rsidRPr="00DE4ABB">
              <w:rPr>
                <w:rFonts w:ascii="Algerian" w:hAnsi="Algerian"/>
                <w:color w:val="000080"/>
                <w:sz w:val="32"/>
                <w:szCs w:val="32"/>
              </w:rPr>
              <w:t xml:space="preserve">                     </w:t>
            </w:r>
            <w:r>
              <w:rPr>
                <w:rFonts w:ascii="Algerian" w:hAnsi="Algerian"/>
                <w:color w:val="000080"/>
                <w:sz w:val="32"/>
                <w:szCs w:val="32"/>
              </w:rPr>
              <w:t xml:space="preserve">               </w:t>
            </w:r>
            <w:r w:rsidRPr="00DE4ABB">
              <w:rPr>
                <w:rFonts w:ascii="Algerian" w:hAnsi="Algerian"/>
                <w:color w:val="000080"/>
                <w:sz w:val="32"/>
                <w:szCs w:val="32"/>
              </w:rPr>
              <w:t>NAACP</w:t>
            </w:r>
          </w:p>
        </w:tc>
      </w:tr>
      <w:tr w:rsidR="009209AB" w:rsidRPr="00440211" w14:paraId="39751E0A" w14:textId="77777777" w:rsidTr="009209AB">
        <w:trPr>
          <w:gridAfter w:val="1"/>
          <w:wAfter w:w="6" w:type="dxa"/>
        </w:trPr>
        <w:tc>
          <w:tcPr>
            <w:tcW w:w="2256" w:type="dxa"/>
            <w:vMerge/>
            <w:tcBorders>
              <w:top w:val="nil"/>
              <w:left w:val="nil"/>
              <w:bottom w:val="nil"/>
              <w:right w:val="nil"/>
            </w:tcBorders>
          </w:tcPr>
          <w:p w14:paraId="3C5F78DD" w14:textId="77777777" w:rsidR="009209AB" w:rsidRPr="00440211" w:rsidRDefault="009209AB" w:rsidP="005C535E">
            <w:pPr>
              <w:ind w:left="180" w:right="630"/>
              <w:rPr>
                <w:color w:val="0000FF"/>
              </w:rPr>
            </w:pPr>
          </w:p>
        </w:tc>
        <w:tc>
          <w:tcPr>
            <w:tcW w:w="9617" w:type="dxa"/>
            <w:gridSpan w:val="2"/>
            <w:tcBorders>
              <w:top w:val="nil"/>
              <w:left w:val="nil"/>
              <w:bottom w:val="nil"/>
              <w:right w:val="nil"/>
            </w:tcBorders>
          </w:tcPr>
          <w:p w14:paraId="35AC98F7" w14:textId="0D0F75AD" w:rsidR="009209AB" w:rsidRPr="00DE4ABB" w:rsidRDefault="009209AB" w:rsidP="005C535E">
            <w:pPr>
              <w:ind w:left="180" w:right="630"/>
              <w:rPr>
                <w:rFonts w:ascii="Algerian" w:hAnsi="Algerian"/>
                <w:color w:val="000080"/>
                <w:sz w:val="32"/>
                <w:szCs w:val="32"/>
              </w:rPr>
            </w:pPr>
            <w:r w:rsidRPr="00DE4ABB">
              <w:rPr>
                <w:rFonts w:ascii="Algerian" w:hAnsi="Algerian"/>
                <w:color w:val="000080"/>
                <w:sz w:val="32"/>
                <w:szCs w:val="32"/>
              </w:rPr>
              <w:t xml:space="preserve">    </w:t>
            </w:r>
            <w:r>
              <w:rPr>
                <w:rFonts w:ascii="Algerian" w:hAnsi="Algerian"/>
                <w:color w:val="000080"/>
                <w:sz w:val="32"/>
                <w:szCs w:val="32"/>
              </w:rPr>
              <w:t xml:space="preserve"> </w:t>
            </w:r>
            <w:proofErr w:type="gramStart"/>
            <w:r w:rsidRPr="00DE4ABB">
              <w:rPr>
                <w:rFonts w:ascii="Algerian" w:hAnsi="Algerian"/>
                <w:color w:val="000080"/>
                <w:sz w:val="32"/>
                <w:szCs w:val="32"/>
              </w:rPr>
              <w:t>NEW  ENGLAND</w:t>
            </w:r>
            <w:proofErr w:type="gramEnd"/>
            <w:r w:rsidRPr="00DE4ABB">
              <w:rPr>
                <w:rFonts w:ascii="Algerian" w:hAnsi="Algerian"/>
                <w:color w:val="000080"/>
                <w:sz w:val="32"/>
                <w:szCs w:val="32"/>
              </w:rPr>
              <w:t xml:space="preserve">  AREA  CONFERENCE</w:t>
            </w:r>
          </w:p>
        </w:tc>
      </w:tr>
      <w:tr w:rsidR="009209AB" w:rsidRPr="00440211" w14:paraId="3CD7B998" w14:textId="77777777" w:rsidTr="009209AB">
        <w:trPr>
          <w:trHeight w:val="414"/>
        </w:trPr>
        <w:tc>
          <w:tcPr>
            <w:tcW w:w="2256" w:type="dxa"/>
            <w:vMerge/>
            <w:tcBorders>
              <w:top w:val="nil"/>
              <w:left w:val="nil"/>
              <w:bottom w:val="nil"/>
              <w:right w:val="nil"/>
            </w:tcBorders>
          </w:tcPr>
          <w:p w14:paraId="5D0E2518" w14:textId="77777777" w:rsidR="009209AB" w:rsidRPr="00440211" w:rsidRDefault="009209AB" w:rsidP="005C535E">
            <w:pPr>
              <w:ind w:left="180" w:right="630"/>
              <w:rPr>
                <w:color w:val="0000FF"/>
              </w:rPr>
            </w:pPr>
          </w:p>
        </w:tc>
        <w:tc>
          <w:tcPr>
            <w:tcW w:w="4450" w:type="dxa"/>
            <w:tcBorders>
              <w:top w:val="nil"/>
              <w:left w:val="nil"/>
              <w:bottom w:val="nil"/>
              <w:right w:val="nil"/>
            </w:tcBorders>
          </w:tcPr>
          <w:p w14:paraId="02B20428" w14:textId="6BF334A7" w:rsidR="009209AB" w:rsidRPr="00440211" w:rsidRDefault="009209AB" w:rsidP="009209AB">
            <w:pPr>
              <w:ind w:left="-130" w:right="630"/>
              <w:jc w:val="both"/>
              <w:rPr>
                <w:color w:val="000080"/>
              </w:rPr>
            </w:pPr>
            <w:r w:rsidRPr="00440211">
              <w:rPr>
                <w:color w:val="000080"/>
              </w:rPr>
              <w:t>Post Office Box 320128</w:t>
            </w:r>
            <w:r>
              <w:rPr>
                <w:color w:val="000080"/>
              </w:rPr>
              <w:t xml:space="preserve">  </w:t>
            </w:r>
          </w:p>
        </w:tc>
        <w:tc>
          <w:tcPr>
            <w:tcW w:w="5173" w:type="dxa"/>
            <w:gridSpan w:val="2"/>
            <w:tcBorders>
              <w:top w:val="nil"/>
              <w:left w:val="nil"/>
              <w:bottom w:val="nil"/>
              <w:right w:val="nil"/>
            </w:tcBorders>
          </w:tcPr>
          <w:p w14:paraId="02561E5E" w14:textId="25221DA7" w:rsidR="009209AB" w:rsidRPr="00440211" w:rsidRDefault="009209AB" w:rsidP="009209AB">
            <w:pPr>
              <w:ind w:right="630"/>
              <w:rPr>
                <w:color w:val="000080"/>
              </w:rPr>
            </w:pPr>
            <w:r w:rsidRPr="00440211">
              <w:rPr>
                <w:color w:val="000080"/>
              </w:rPr>
              <w:t>West Roxbury, MA  02132</w:t>
            </w:r>
          </w:p>
        </w:tc>
      </w:tr>
      <w:tr w:rsidR="009209AB" w:rsidRPr="00440211" w14:paraId="3BBDB878" w14:textId="77777777" w:rsidTr="009209AB">
        <w:trPr>
          <w:trHeight w:val="337"/>
        </w:trPr>
        <w:tc>
          <w:tcPr>
            <w:tcW w:w="2256" w:type="dxa"/>
            <w:vMerge/>
            <w:tcBorders>
              <w:top w:val="nil"/>
              <w:left w:val="nil"/>
              <w:bottom w:val="nil"/>
              <w:right w:val="nil"/>
            </w:tcBorders>
          </w:tcPr>
          <w:p w14:paraId="3AF7C498" w14:textId="77777777" w:rsidR="009209AB" w:rsidRPr="00440211" w:rsidRDefault="009209AB" w:rsidP="005C535E">
            <w:pPr>
              <w:ind w:left="180" w:right="630"/>
              <w:rPr>
                <w:color w:val="0000FF"/>
              </w:rPr>
            </w:pPr>
          </w:p>
        </w:tc>
        <w:tc>
          <w:tcPr>
            <w:tcW w:w="4450" w:type="dxa"/>
            <w:tcBorders>
              <w:top w:val="nil"/>
              <w:left w:val="nil"/>
              <w:bottom w:val="nil"/>
              <w:right w:val="nil"/>
            </w:tcBorders>
          </w:tcPr>
          <w:p w14:paraId="4E3DDF3F" w14:textId="1F355436" w:rsidR="009209AB" w:rsidRDefault="009209AB" w:rsidP="005C535E">
            <w:pPr>
              <w:ind w:left="180" w:right="-196"/>
              <w:jc w:val="both"/>
              <w:rPr>
                <w:color w:val="000080"/>
              </w:rPr>
            </w:pPr>
            <w:r w:rsidRPr="00440211">
              <w:rPr>
                <w:color w:val="000080"/>
              </w:rPr>
              <w:t xml:space="preserve">               </w:t>
            </w:r>
            <w:r>
              <w:rPr>
                <w:color w:val="000080"/>
              </w:rPr>
              <w:t xml:space="preserve">                      </w:t>
            </w:r>
            <w:r w:rsidRPr="00440211">
              <w:rPr>
                <w:color w:val="000080"/>
              </w:rPr>
              <w:t>(617)</w:t>
            </w:r>
            <w:r>
              <w:rPr>
                <w:color w:val="000080"/>
              </w:rPr>
              <w:t xml:space="preserve"> </w:t>
            </w:r>
            <w:r w:rsidRPr="00440211">
              <w:rPr>
                <w:color w:val="000080"/>
              </w:rPr>
              <w:t>32</w:t>
            </w:r>
            <w:r>
              <w:rPr>
                <w:color w:val="000080"/>
              </w:rPr>
              <w:t>5-7580</w:t>
            </w:r>
          </w:p>
          <w:p w14:paraId="36AA6089" w14:textId="77777777" w:rsidR="009209AB" w:rsidRPr="00440211" w:rsidRDefault="009209AB" w:rsidP="005C535E">
            <w:pPr>
              <w:ind w:left="180" w:right="630"/>
              <w:jc w:val="both"/>
              <w:rPr>
                <w:color w:val="000080"/>
              </w:rPr>
            </w:pPr>
          </w:p>
        </w:tc>
        <w:tc>
          <w:tcPr>
            <w:tcW w:w="5173" w:type="dxa"/>
            <w:gridSpan w:val="2"/>
            <w:tcBorders>
              <w:top w:val="nil"/>
              <w:left w:val="nil"/>
              <w:bottom w:val="nil"/>
              <w:right w:val="nil"/>
            </w:tcBorders>
          </w:tcPr>
          <w:p w14:paraId="414629C8" w14:textId="77777777" w:rsidR="009209AB" w:rsidRPr="00440211" w:rsidRDefault="009209AB" w:rsidP="005C535E">
            <w:pPr>
              <w:ind w:left="180" w:right="630"/>
              <w:rPr>
                <w:color w:val="000080"/>
              </w:rPr>
            </w:pPr>
            <w:r w:rsidRPr="00440211">
              <w:rPr>
                <w:color w:val="000080"/>
              </w:rPr>
              <w:t xml:space="preserve"> </w:t>
            </w:r>
          </w:p>
        </w:tc>
      </w:tr>
    </w:tbl>
    <w:p w14:paraId="785AB320" w14:textId="4989D834" w:rsidR="009209AB" w:rsidRPr="009209AB" w:rsidRDefault="009209AB" w:rsidP="009209AB">
      <w:pPr>
        <w:ind w:left="180" w:right="630"/>
        <w:jc w:val="both"/>
        <w:rPr>
          <w:sz w:val="24"/>
          <w:szCs w:val="24"/>
        </w:rPr>
      </w:pPr>
      <w:r>
        <w:tab/>
      </w:r>
      <w:r>
        <w:tab/>
      </w:r>
      <w:r>
        <w:tab/>
      </w:r>
      <w:r>
        <w:tab/>
      </w:r>
      <w:r>
        <w:tab/>
      </w:r>
      <w:r>
        <w:tab/>
      </w:r>
      <w:r>
        <w:tab/>
      </w:r>
      <w:r>
        <w:tab/>
      </w:r>
      <w:r>
        <w:tab/>
        <w:t xml:space="preserve">          </w:t>
      </w:r>
      <w:r w:rsidRPr="009209AB">
        <w:rPr>
          <w:sz w:val="24"/>
          <w:szCs w:val="24"/>
        </w:rPr>
        <w:t>July 30, 2021</w:t>
      </w:r>
    </w:p>
    <w:p w14:paraId="0DEDC930" w14:textId="59FC82B0" w:rsidR="008D2E0B" w:rsidRPr="009209AB" w:rsidRDefault="008D2E0B">
      <w:pPr>
        <w:spacing w:line="240" w:lineRule="auto"/>
        <w:rPr>
          <w:sz w:val="24"/>
          <w:szCs w:val="24"/>
        </w:rPr>
      </w:pPr>
    </w:p>
    <w:p w14:paraId="4012D551" w14:textId="77777777" w:rsidR="00C77EBF" w:rsidRDefault="00C77EBF" w:rsidP="00C77EBF">
      <w:pPr>
        <w:spacing w:line="240" w:lineRule="auto"/>
        <w:rPr>
          <w:sz w:val="24"/>
          <w:szCs w:val="24"/>
        </w:rPr>
      </w:pPr>
      <w:bookmarkStart w:id="0" w:name="_wu2w40tyj9gj" w:colFirst="0" w:colLast="0"/>
      <w:bookmarkEnd w:id="0"/>
    </w:p>
    <w:p w14:paraId="1F39F7B3" w14:textId="3DB9D549" w:rsidR="008D2E0B" w:rsidRDefault="00C77EBF" w:rsidP="00C77EBF">
      <w:pPr>
        <w:spacing w:line="240" w:lineRule="auto"/>
        <w:rPr>
          <w:sz w:val="24"/>
          <w:szCs w:val="24"/>
        </w:rPr>
      </w:pPr>
      <w:r>
        <w:rPr>
          <w:sz w:val="24"/>
          <w:szCs w:val="24"/>
        </w:rPr>
        <w:t xml:space="preserve">Senator Jamie Eldridge and Representative Michael S. Day, Co-Chairs, </w:t>
      </w:r>
    </w:p>
    <w:p w14:paraId="0A162184" w14:textId="77777777" w:rsidR="00C77EBF" w:rsidRDefault="00AC5CB3">
      <w:pPr>
        <w:spacing w:line="240" w:lineRule="auto"/>
        <w:rPr>
          <w:sz w:val="24"/>
          <w:szCs w:val="24"/>
        </w:rPr>
      </w:pPr>
      <w:r>
        <w:rPr>
          <w:sz w:val="24"/>
          <w:szCs w:val="24"/>
        </w:rPr>
        <w:t xml:space="preserve">Commission </w:t>
      </w:r>
      <w:r w:rsidR="006110C0">
        <w:rPr>
          <w:sz w:val="24"/>
          <w:szCs w:val="24"/>
        </w:rPr>
        <w:t xml:space="preserve">To Study Facial Recognition </w:t>
      </w:r>
      <w:proofErr w:type="gramStart"/>
      <w:r w:rsidR="006110C0">
        <w:rPr>
          <w:sz w:val="24"/>
          <w:szCs w:val="24"/>
        </w:rPr>
        <w:t>Technology  And</w:t>
      </w:r>
      <w:proofErr w:type="gramEnd"/>
      <w:r w:rsidR="006110C0">
        <w:rPr>
          <w:sz w:val="24"/>
          <w:szCs w:val="24"/>
        </w:rPr>
        <w:t xml:space="preserve"> Its Use</w:t>
      </w:r>
      <w:r w:rsidR="00C77EBF">
        <w:rPr>
          <w:sz w:val="24"/>
          <w:szCs w:val="24"/>
        </w:rPr>
        <w:t xml:space="preserve"> </w:t>
      </w:r>
      <w:r w:rsidR="006110C0">
        <w:rPr>
          <w:sz w:val="24"/>
          <w:szCs w:val="24"/>
        </w:rPr>
        <w:t xml:space="preserve">By Law </w:t>
      </w:r>
    </w:p>
    <w:p w14:paraId="46F17A76" w14:textId="38D62354" w:rsidR="008D2E0B" w:rsidRDefault="006110C0">
      <w:pPr>
        <w:spacing w:line="240" w:lineRule="auto"/>
        <w:rPr>
          <w:sz w:val="24"/>
          <w:szCs w:val="24"/>
        </w:rPr>
      </w:pPr>
      <w:r>
        <w:rPr>
          <w:sz w:val="24"/>
          <w:szCs w:val="24"/>
        </w:rPr>
        <w:t>Enforcement Officers</w:t>
      </w:r>
    </w:p>
    <w:p w14:paraId="08758C03" w14:textId="77777777" w:rsidR="00C77EBF" w:rsidRDefault="00C77EBF">
      <w:pPr>
        <w:spacing w:line="240" w:lineRule="auto"/>
        <w:rPr>
          <w:sz w:val="24"/>
          <w:szCs w:val="24"/>
        </w:rPr>
      </w:pPr>
    </w:p>
    <w:p w14:paraId="7C9EB47E" w14:textId="77777777" w:rsidR="008D2E0B" w:rsidRDefault="008D2E0B">
      <w:pPr>
        <w:spacing w:line="240" w:lineRule="auto"/>
        <w:rPr>
          <w:sz w:val="24"/>
          <w:szCs w:val="24"/>
        </w:rPr>
      </w:pPr>
    </w:p>
    <w:p w14:paraId="6F7F4C6B" w14:textId="73014473" w:rsidR="008D2E0B" w:rsidRDefault="00AC5CB3">
      <w:pPr>
        <w:spacing w:line="240" w:lineRule="auto"/>
        <w:jc w:val="center"/>
        <w:rPr>
          <w:b/>
          <w:sz w:val="24"/>
          <w:szCs w:val="24"/>
        </w:rPr>
      </w:pPr>
      <w:r>
        <w:rPr>
          <w:b/>
          <w:sz w:val="24"/>
          <w:szCs w:val="24"/>
        </w:rPr>
        <w:t>NAACP</w:t>
      </w:r>
      <w:r w:rsidR="006110C0">
        <w:rPr>
          <w:b/>
          <w:sz w:val="24"/>
          <w:szCs w:val="24"/>
        </w:rPr>
        <w:t>,</w:t>
      </w:r>
      <w:r>
        <w:rPr>
          <w:b/>
          <w:sz w:val="24"/>
          <w:szCs w:val="24"/>
        </w:rPr>
        <w:t xml:space="preserve"> New England </w:t>
      </w:r>
      <w:r w:rsidR="006110C0">
        <w:rPr>
          <w:b/>
          <w:sz w:val="24"/>
          <w:szCs w:val="24"/>
        </w:rPr>
        <w:t>Area Conference</w:t>
      </w:r>
      <w:r w:rsidR="00633600">
        <w:rPr>
          <w:b/>
          <w:sz w:val="24"/>
          <w:szCs w:val="24"/>
        </w:rPr>
        <w:t>,</w:t>
      </w:r>
      <w:r w:rsidR="006110C0">
        <w:rPr>
          <w:b/>
          <w:sz w:val="24"/>
          <w:szCs w:val="24"/>
        </w:rPr>
        <w:t xml:space="preserve"> Written </w:t>
      </w:r>
      <w:r>
        <w:rPr>
          <w:b/>
          <w:sz w:val="24"/>
          <w:szCs w:val="24"/>
        </w:rPr>
        <w:t>Comment</w:t>
      </w:r>
      <w:r w:rsidR="00C77EBF">
        <w:rPr>
          <w:b/>
          <w:sz w:val="24"/>
          <w:szCs w:val="24"/>
        </w:rPr>
        <w:t xml:space="preserve"> --</w:t>
      </w:r>
      <w:r>
        <w:rPr>
          <w:b/>
          <w:sz w:val="24"/>
          <w:szCs w:val="24"/>
        </w:rPr>
        <w:t xml:space="preserve"> </w:t>
      </w:r>
    </w:p>
    <w:p w14:paraId="01A38E73" w14:textId="77777777" w:rsidR="008D2E0B" w:rsidRDefault="00AC5CB3">
      <w:pPr>
        <w:spacing w:line="240" w:lineRule="auto"/>
        <w:jc w:val="center"/>
        <w:rPr>
          <w:b/>
          <w:sz w:val="24"/>
          <w:szCs w:val="24"/>
        </w:rPr>
      </w:pPr>
      <w:r>
        <w:rPr>
          <w:b/>
          <w:sz w:val="24"/>
          <w:szCs w:val="24"/>
        </w:rPr>
        <w:t>Governmental Use of Face Surveillance Technology</w:t>
      </w:r>
    </w:p>
    <w:p w14:paraId="7A9C82B4" w14:textId="77777777" w:rsidR="008D2E0B" w:rsidRDefault="008D2E0B">
      <w:pPr>
        <w:spacing w:line="240" w:lineRule="auto"/>
        <w:jc w:val="center"/>
        <w:rPr>
          <w:sz w:val="24"/>
          <w:szCs w:val="24"/>
        </w:rPr>
      </w:pPr>
    </w:p>
    <w:p w14:paraId="343F252B" w14:textId="77777777" w:rsidR="008D2E0B" w:rsidRDefault="008D2E0B">
      <w:pPr>
        <w:spacing w:line="240" w:lineRule="auto"/>
        <w:rPr>
          <w:sz w:val="24"/>
          <w:szCs w:val="24"/>
        </w:rPr>
      </w:pPr>
    </w:p>
    <w:p w14:paraId="7581A30E" w14:textId="79759018" w:rsidR="008D2E0B" w:rsidRDefault="00AC5CB3">
      <w:pPr>
        <w:spacing w:line="240" w:lineRule="auto"/>
        <w:rPr>
          <w:sz w:val="24"/>
          <w:szCs w:val="24"/>
        </w:rPr>
      </w:pPr>
      <w:r>
        <w:rPr>
          <w:sz w:val="24"/>
          <w:szCs w:val="24"/>
        </w:rPr>
        <w:t xml:space="preserve">I am writing on behalf of the New England Area Conference </w:t>
      </w:r>
      <w:r w:rsidR="00633600">
        <w:rPr>
          <w:sz w:val="24"/>
          <w:szCs w:val="24"/>
        </w:rPr>
        <w:t xml:space="preserve">(NEAC) </w:t>
      </w:r>
      <w:r>
        <w:rPr>
          <w:sz w:val="24"/>
          <w:szCs w:val="24"/>
        </w:rPr>
        <w:t xml:space="preserve">of the NAACP to respectfully ask that the Commission recommend </w:t>
      </w:r>
      <w:r w:rsidR="00C77EBF">
        <w:rPr>
          <w:sz w:val="24"/>
          <w:szCs w:val="24"/>
        </w:rPr>
        <w:t xml:space="preserve">that </w:t>
      </w:r>
      <w:r>
        <w:rPr>
          <w:sz w:val="24"/>
          <w:szCs w:val="24"/>
        </w:rPr>
        <w:t>the legislature strengthen existing facial recognition law by passing H.135 and S.47.</w:t>
      </w:r>
    </w:p>
    <w:p w14:paraId="09595862" w14:textId="77777777" w:rsidR="008D2E0B" w:rsidRDefault="008D2E0B">
      <w:pPr>
        <w:spacing w:line="240" w:lineRule="auto"/>
        <w:rPr>
          <w:sz w:val="24"/>
          <w:szCs w:val="24"/>
        </w:rPr>
      </w:pPr>
    </w:p>
    <w:p w14:paraId="43A06AAA" w14:textId="2361F19C" w:rsidR="008D2E0B" w:rsidRDefault="00AC5CB3">
      <w:pPr>
        <w:spacing w:line="240" w:lineRule="auto"/>
        <w:rPr>
          <w:sz w:val="24"/>
          <w:szCs w:val="24"/>
        </w:rPr>
      </w:pPr>
      <w:r>
        <w:rPr>
          <w:sz w:val="24"/>
          <w:szCs w:val="24"/>
        </w:rPr>
        <w:t>The NAACP is the largest</w:t>
      </w:r>
      <w:r w:rsidR="006110C0">
        <w:rPr>
          <w:sz w:val="24"/>
          <w:szCs w:val="24"/>
        </w:rPr>
        <w:t xml:space="preserve">, oldest </w:t>
      </w:r>
      <w:r>
        <w:rPr>
          <w:sz w:val="24"/>
          <w:szCs w:val="24"/>
        </w:rPr>
        <w:t xml:space="preserve">and most pre-eminent civil rights organization in the nation. </w:t>
      </w:r>
      <w:r w:rsidR="006110C0">
        <w:rPr>
          <w:sz w:val="24"/>
          <w:szCs w:val="24"/>
        </w:rPr>
        <w:t xml:space="preserve">The NAACP network includes </w:t>
      </w:r>
      <w:r>
        <w:rPr>
          <w:sz w:val="24"/>
          <w:szCs w:val="24"/>
        </w:rPr>
        <w:t xml:space="preserve">over 2,200 </w:t>
      </w:r>
      <w:r w:rsidR="00873C6C">
        <w:rPr>
          <w:sz w:val="24"/>
          <w:szCs w:val="24"/>
        </w:rPr>
        <w:t>U</w:t>
      </w:r>
      <w:r>
        <w:rPr>
          <w:sz w:val="24"/>
          <w:szCs w:val="24"/>
        </w:rPr>
        <w:t xml:space="preserve">nits across the nation, along with well over 2 million activists. </w:t>
      </w:r>
      <w:r w:rsidR="006110C0">
        <w:rPr>
          <w:sz w:val="24"/>
          <w:szCs w:val="24"/>
        </w:rPr>
        <w:t>Its</w:t>
      </w:r>
      <w:r>
        <w:rPr>
          <w:sz w:val="24"/>
          <w:szCs w:val="24"/>
        </w:rPr>
        <w:t xml:space="preserve"> mission is to secure the political, educational, social, and economic equality of rights to eliminate race-based discrimination and ensure the health and well-being of all persons.</w:t>
      </w:r>
      <w:r w:rsidR="006110C0">
        <w:rPr>
          <w:sz w:val="24"/>
          <w:szCs w:val="24"/>
        </w:rPr>
        <w:t xml:space="preserve">  </w:t>
      </w:r>
      <w:r w:rsidR="00633600">
        <w:rPr>
          <w:sz w:val="24"/>
          <w:szCs w:val="24"/>
        </w:rPr>
        <w:t>NEAC i</w:t>
      </w:r>
      <w:r w:rsidR="006110C0">
        <w:rPr>
          <w:sz w:val="24"/>
          <w:szCs w:val="24"/>
        </w:rPr>
        <w:t xml:space="preserve">s the governing and coordinating entity for NAACP Branches in the states of Rhode Island, Massachusetts, New Hampshire, Maine and Vermont.  </w:t>
      </w:r>
      <w:r w:rsidR="00873C6C">
        <w:rPr>
          <w:sz w:val="24"/>
          <w:szCs w:val="24"/>
        </w:rPr>
        <w:t>This comment is presented on behalf of the 14 Branches in Massachusetts.</w:t>
      </w:r>
    </w:p>
    <w:p w14:paraId="7C28C509" w14:textId="77777777" w:rsidR="008D2E0B" w:rsidRDefault="008D2E0B">
      <w:pPr>
        <w:spacing w:line="240" w:lineRule="auto"/>
        <w:rPr>
          <w:sz w:val="24"/>
          <w:szCs w:val="24"/>
        </w:rPr>
      </w:pPr>
    </w:p>
    <w:p w14:paraId="0CFBD463" w14:textId="340F8ED4" w:rsidR="00C77EBF" w:rsidRDefault="00AC5CB3" w:rsidP="00C77EBF">
      <w:pPr>
        <w:spacing w:line="240" w:lineRule="auto"/>
        <w:jc w:val="center"/>
        <w:rPr>
          <w:b/>
          <w:sz w:val="23"/>
          <w:szCs w:val="23"/>
        </w:rPr>
      </w:pPr>
      <w:r>
        <w:rPr>
          <w:b/>
          <w:sz w:val="23"/>
          <w:szCs w:val="23"/>
        </w:rPr>
        <w:t>Police use of unregulated face surveillance technology</w:t>
      </w:r>
    </w:p>
    <w:p w14:paraId="431BDCD6" w14:textId="33742FD2" w:rsidR="008D2E0B" w:rsidRDefault="00AC5CB3" w:rsidP="00C77EBF">
      <w:pPr>
        <w:spacing w:line="240" w:lineRule="auto"/>
        <w:jc w:val="center"/>
        <w:rPr>
          <w:b/>
          <w:sz w:val="23"/>
          <w:szCs w:val="23"/>
        </w:rPr>
      </w:pPr>
      <w:r>
        <w:rPr>
          <w:b/>
          <w:sz w:val="23"/>
          <w:szCs w:val="23"/>
        </w:rPr>
        <w:t xml:space="preserve">threatens Black and </w:t>
      </w:r>
      <w:r w:rsidR="00C36599">
        <w:rPr>
          <w:b/>
          <w:sz w:val="23"/>
          <w:szCs w:val="23"/>
        </w:rPr>
        <w:t>B</w:t>
      </w:r>
      <w:r>
        <w:rPr>
          <w:b/>
          <w:sz w:val="23"/>
          <w:szCs w:val="23"/>
        </w:rPr>
        <w:t>rown people</w:t>
      </w:r>
    </w:p>
    <w:p w14:paraId="1EF3CD3E" w14:textId="77777777" w:rsidR="008D2E0B" w:rsidRDefault="00AC5CB3">
      <w:pPr>
        <w:spacing w:line="240" w:lineRule="auto"/>
        <w:rPr>
          <w:sz w:val="23"/>
          <w:szCs w:val="23"/>
        </w:rPr>
      </w:pPr>
      <w:r>
        <w:rPr>
          <w:sz w:val="23"/>
          <w:szCs w:val="23"/>
        </w:rPr>
        <w:t xml:space="preserve"> </w:t>
      </w:r>
    </w:p>
    <w:p w14:paraId="0A1592A7" w14:textId="77777777" w:rsidR="008D2E0B" w:rsidRDefault="00AC5CB3">
      <w:pPr>
        <w:spacing w:line="240" w:lineRule="auto"/>
        <w:rPr>
          <w:sz w:val="23"/>
          <w:szCs w:val="23"/>
        </w:rPr>
      </w:pPr>
      <w:r>
        <w:rPr>
          <w:sz w:val="23"/>
          <w:szCs w:val="23"/>
        </w:rPr>
        <w:t>The use of biometric recognition technologies, especially facial recognition, directly undermines racial justice. The government should not be allowed to use technology that disproportionately harms Black communities that already suffer from over-policing.</w:t>
      </w:r>
    </w:p>
    <w:p w14:paraId="78A7BCF3" w14:textId="77777777" w:rsidR="008D2E0B" w:rsidRDefault="00AC5CB3">
      <w:pPr>
        <w:spacing w:line="240" w:lineRule="auto"/>
        <w:rPr>
          <w:sz w:val="23"/>
          <w:szCs w:val="23"/>
        </w:rPr>
      </w:pPr>
      <w:r>
        <w:rPr>
          <w:sz w:val="23"/>
          <w:szCs w:val="23"/>
        </w:rPr>
        <w:t xml:space="preserve"> </w:t>
      </w:r>
    </w:p>
    <w:p w14:paraId="56089D87" w14:textId="40F79ACF" w:rsidR="008D2E0B" w:rsidRDefault="00AC5CB3">
      <w:pPr>
        <w:spacing w:line="240" w:lineRule="auto"/>
        <w:rPr>
          <w:sz w:val="20"/>
          <w:szCs w:val="20"/>
          <w:vertAlign w:val="superscript"/>
        </w:rPr>
      </w:pPr>
      <w:r>
        <w:rPr>
          <w:sz w:val="23"/>
          <w:szCs w:val="23"/>
        </w:rPr>
        <w:t xml:space="preserve">First, rigorous, academic peer-reviewed research from Joy </w:t>
      </w:r>
      <w:proofErr w:type="spellStart"/>
      <w:r>
        <w:rPr>
          <w:sz w:val="23"/>
          <w:szCs w:val="23"/>
        </w:rPr>
        <w:t>Buolamwini</w:t>
      </w:r>
      <w:proofErr w:type="spellEnd"/>
      <w:r>
        <w:rPr>
          <w:sz w:val="23"/>
          <w:szCs w:val="23"/>
        </w:rPr>
        <w:t>, a scholar from the Massachusetts Institute of Technology (“MIT”), demonstrates facial surveillance technology exhibits gender and racial bias. Specifically, some facial recognition algorithms have high failure rates when evaluating the faces of Black women, erring in up to 1 in 3 cases.</w:t>
      </w:r>
      <w:r>
        <w:rPr>
          <w:sz w:val="20"/>
          <w:szCs w:val="20"/>
          <w:vertAlign w:val="superscript"/>
        </w:rPr>
        <w:t>[1]</w:t>
      </w:r>
    </w:p>
    <w:p w14:paraId="23902993" w14:textId="77777777" w:rsidR="008D2E0B" w:rsidRDefault="00AC5CB3">
      <w:pPr>
        <w:spacing w:line="240" w:lineRule="auto"/>
        <w:rPr>
          <w:sz w:val="23"/>
          <w:szCs w:val="23"/>
        </w:rPr>
      </w:pPr>
      <w:r>
        <w:rPr>
          <w:sz w:val="23"/>
          <w:szCs w:val="23"/>
        </w:rPr>
        <w:t xml:space="preserve"> </w:t>
      </w:r>
    </w:p>
    <w:p w14:paraId="6C97A499" w14:textId="77777777" w:rsidR="008D2E0B" w:rsidRDefault="00AC5CB3">
      <w:pPr>
        <w:spacing w:line="240" w:lineRule="auto"/>
        <w:rPr>
          <w:sz w:val="20"/>
          <w:szCs w:val="20"/>
          <w:vertAlign w:val="superscript"/>
        </w:rPr>
      </w:pPr>
      <w:r>
        <w:rPr>
          <w:sz w:val="23"/>
          <w:szCs w:val="23"/>
        </w:rPr>
        <w:t>Second, a federal government study published in December 2019 found that face recognition algorithms were more likely to fail when attempting to identify the faces of people of color, children, the elderly, and women.</w:t>
      </w:r>
      <w:r>
        <w:rPr>
          <w:sz w:val="20"/>
          <w:szCs w:val="20"/>
          <w:vertAlign w:val="superscript"/>
        </w:rPr>
        <w:t>[2]</w:t>
      </w:r>
    </w:p>
    <w:p w14:paraId="10926444" w14:textId="77777777" w:rsidR="008D2E0B" w:rsidRDefault="00AC5CB3">
      <w:pPr>
        <w:spacing w:line="240" w:lineRule="auto"/>
        <w:rPr>
          <w:sz w:val="23"/>
          <w:szCs w:val="23"/>
        </w:rPr>
      </w:pPr>
      <w:r>
        <w:rPr>
          <w:sz w:val="23"/>
          <w:szCs w:val="23"/>
        </w:rPr>
        <w:t xml:space="preserve"> </w:t>
      </w:r>
    </w:p>
    <w:p w14:paraId="5B1D40B8" w14:textId="5C2D5F57" w:rsidR="008D2E0B" w:rsidRDefault="00AC5CB3">
      <w:pPr>
        <w:spacing w:line="240" w:lineRule="auto"/>
        <w:rPr>
          <w:sz w:val="23"/>
          <w:szCs w:val="23"/>
        </w:rPr>
      </w:pPr>
      <w:r>
        <w:rPr>
          <w:sz w:val="23"/>
          <w:szCs w:val="23"/>
        </w:rPr>
        <w:lastRenderedPageBreak/>
        <w:t>Third, face surveillance systems in use by law enforcement frequently compare images against mugshot databases. Numerous studies, including those examining trends in Massachusetts, have shown that Black and Latin</w:t>
      </w:r>
      <w:r w:rsidR="00C77EBF">
        <w:rPr>
          <w:sz w:val="23"/>
          <w:szCs w:val="23"/>
        </w:rPr>
        <w:t>o</w:t>
      </w:r>
      <w:r>
        <w:rPr>
          <w:sz w:val="23"/>
          <w:szCs w:val="23"/>
        </w:rPr>
        <w:t xml:space="preserve"> people are many times more likely to face arrest for a variety of crimes than </w:t>
      </w:r>
      <w:r w:rsidR="00BE6F63">
        <w:rPr>
          <w:sz w:val="23"/>
          <w:szCs w:val="23"/>
        </w:rPr>
        <w:t>W</w:t>
      </w:r>
      <w:r>
        <w:rPr>
          <w:sz w:val="23"/>
          <w:szCs w:val="23"/>
        </w:rPr>
        <w:t xml:space="preserve">hite people, even when </w:t>
      </w:r>
      <w:r w:rsidR="00BE6F63">
        <w:rPr>
          <w:sz w:val="23"/>
          <w:szCs w:val="23"/>
        </w:rPr>
        <w:t>W</w:t>
      </w:r>
      <w:r>
        <w:rPr>
          <w:sz w:val="23"/>
          <w:szCs w:val="23"/>
        </w:rPr>
        <w:t>hites commit those crimes at the same rates.</w:t>
      </w:r>
      <w:r>
        <w:rPr>
          <w:sz w:val="20"/>
          <w:szCs w:val="20"/>
          <w:vertAlign w:val="superscript"/>
        </w:rPr>
        <w:t>[3]</w:t>
      </w:r>
      <w:r>
        <w:rPr>
          <w:sz w:val="5"/>
          <w:szCs w:val="5"/>
        </w:rPr>
        <w:t xml:space="preserve"> </w:t>
      </w:r>
      <w:r w:rsidR="00C77EBF">
        <w:rPr>
          <w:sz w:val="5"/>
          <w:szCs w:val="5"/>
        </w:rPr>
        <w:t xml:space="preserve">  </w:t>
      </w:r>
      <w:r>
        <w:rPr>
          <w:sz w:val="5"/>
          <w:szCs w:val="5"/>
        </w:rPr>
        <w:t xml:space="preserve"> </w:t>
      </w:r>
      <w:r>
        <w:rPr>
          <w:sz w:val="23"/>
          <w:szCs w:val="23"/>
        </w:rPr>
        <w:t>Making matters worse, an arrest does not equal guilt. Using mugshot databases for face surveillance searches exacerbates historical inequities by recycling that bias through new technology, and unfairly scrutinizing people who have long been targets of disproportionate police attention.</w:t>
      </w:r>
    </w:p>
    <w:p w14:paraId="0C48BFA5" w14:textId="77777777" w:rsidR="008D2E0B" w:rsidRDefault="00AC5CB3">
      <w:pPr>
        <w:spacing w:line="240" w:lineRule="auto"/>
        <w:rPr>
          <w:sz w:val="23"/>
          <w:szCs w:val="23"/>
        </w:rPr>
      </w:pPr>
      <w:r>
        <w:rPr>
          <w:sz w:val="23"/>
          <w:szCs w:val="23"/>
        </w:rPr>
        <w:t xml:space="preserve"> </w:t>
      </w:r>
    </w:p>
    <w:p w14:paraId="5DECC686" w14:textId="77777777" w:rsidR="008D2E0B" w:rsidRDefault="00AC5CB3">
      <w:pPr>
        <w:spacing w:line="240" w:lineRule="auto"/>
        <w:rPr>
          <w:sz w:val="23"/>
          <w:szCs w:val="23"/>
        </w:rPr>
      </w:pPr>
      <w:r>
        <w:rPr>
          <w:sz w:val="23"/>
          <w:szCs w:val="23"/>
        </w:rPr>
        <w:t>Finally, even if face surveillance systems were perfectly accurate, and even if the police did not use mugshot databases for facial recognition searches, history suggests these technologies will be disparately deployed in low-income and communities of color, and against immigrants. This has the impact not only of subjecting traditionally oppressed groups of people to yet more surveillance and tracking but also of making other, less policed communities even more invisible to law enforcement.</w:t>
      </w:r>
    </w:p>
    <w:p w14:paraId="5F88FB9D" w14:textId="77777777" w:rsidR="008D2E0B" w:rsidRDefault="00AC5CB3">
      <w:pPr>
        <w:spacing w:line="240" w:lineRule="auto"/>
        <w:rPr>
          <w:sz w:val="23"/>
          <w:szCs w:val="23"/>
        </w:rPr>
      </w:pPr>
      <w:r>
        <w:rPr>
          <w:sz w:val="23"/>
          <w:szCs w:val="23"/>
        </w:rPr>
        <w:t xml:space="preserve"> </w:t>
      </w:r>
    </w:p>
    <w:p w14:paraId="25299652" w14:textId="0F52630A" w:rsidR="008D2E0B" w:rsidRDefault="00AC5CB3">
      <w:pPr>
        <w:spacing w:line="240" w:lineRule="auto"/>
        <w:rPr>
          <w:sz w:val="23"/>
          <w:szCs w:val="23"/>
        </w:rPr>
      </w:pPr>
      <w:r>
        <w:rPr>
          <w:sz w:val="23"/>
          <w:szCs w:val="23"/>
        </w:rPr>
        <w:t xml:space="preserve">The existing law fails to protect Black and </w:t>
      </w:r>
      <w:r w:rsidR="00C77EBF">
        <w:rPr>
          <w:sz w:val="23"/>
          <w:szCs w:val="23"/>
        </w:rPr>
        <w:t>B</w:t>
      </w:r>
      <w:r>
        <w:rPr>
          <w:sz w:val="23"/>
          <w:szCs w:val="23"/>
        </w:rPr>
        <w:t xml:space="preserve">rown people from this dangerous form of surveillance, which left poorly regulated will facilitate digital racial profiling and even wrongful arrests. </w:t>
      </w:r>
    </w:p>
    <w:p w14:paraId="47788AED" w14:textId="77777777" w:rsidR="008D2E0B" w:rsidRDefault="008D2E0B">
      <w:pPr>
        <w:spacing w:line="240" w:lineRule="auto"/>
        <w:rPr>
          <w:sz w:val="23"/>
          <w:szCs w:val="23"/>
        </w:rPr>
      </w:pPr>
    </w:p>
    <w:p w14:paraId="76767658" w14:textId="4BA32BFF" w:rsidR="008D2E0B" w:rsidRDefault="00AC5CB3">
      <w:pPr>
        <w:spacing w:line="240" w:lineRule="auto"/>
        <w:rPr>
          <w:sz w:val="23"/>
          <w:szCs w:val="23"/>
        </w:rPr>
      </w:pPr>
      <w:r>
        <w:rPr>
          <w:sz w:val="23"/>
          <w:szCs w:val="23"/>
        </w:rPr>
        <w:t xml:space="preserve">Legislation filed this session in Massachusetts would address many of the current law’s shortcomings. H.135 and S.47 strike the right balance between police investigative needs in serious criminal investigations and the privacy and racial justice interests of the people of Massachusetts. </w:t>
      </w:r>
      <w:r w:rsidR="00C77EBF">
        <w:rPr>
          <w:sz w:val="23"/>
          <w:szCs w:val="23"/>
        </w:rPr>
        <w:t>NEAC</w:t>
      </w:r>
      <w:r>
        <w:rPr>
          <w:sz w:val="23"/>
          <w:szCs w:val="23"/>
        </w:rPr>
        <w:t xml:space="preserve"> are particularly supportive of the following elements of the legislation:</w:t>
      </w:r>
    </w:p>
    <w:p w14:paraId="39A6FC6A" w14:textId="77777777" w:rsidR="008D2E0B" w:rsidRDefault="008D2E0B">
      <w:pPr>
        <w:spacing w:line="240" w:lineRule="auto"/>
        <w:rPr>
          <w:sz w:val="23"/>
          <w:szCs w:val="23"/>
        </w:rPr>
      </w:pPr>
    </w:p>
    <w:p w14:paraId="562E3E75" w14:textId="77777777" w:rsidR="008D2E0B" w:rsidRDefault="00AC5CB3">
      <w:pPr>
        <w:numPr>
          <w:ilvl w:val="0"/>
          <w:numId w:val="1"/>
        </w:numPr>
        <w:spacing w:line="240" w:lineRule="auto"/>
        <w:rPr>
          <w:sz w:val="23"/>
          <w:szCs w:val="23"/>
        </w:rPr>
      </w:pPr>
      <w:r>
        <w:rPr>
          <w:sz w:val="23"/>
          <w:szCs w:val="23"/>
        </w:rPr>
        <w:t>The warrant requirement for police facial recognition searches.</w:t>
      </w:r>
    </w:p>
    <w:p w14:paraId="471EE113" w14:textId="77777777" w:rsidR="008D2E0B" w:rsidRDefault="00AC5CB3">
      <w:pPr>
        <w:numPr>
          <w:ilvl w:val="0"/>
          <w:numId w:val="1"/>
        </w:numPr>
        <w:spacing w:line="240" w:lineRule="auto"/>
        <w:rPr>
          <w:sz w:val="23"/>
          <w:szCs w:val="23"/>
        </w:rPr>
      </w:pPr>
      <w:r>
        <w:rPr>
          <w:sz w:val="23"/>
          <w:szCs w:val="23"/>
        </w:rPr>
        <w:t>The prohibition on the government’s use of facial recognition to perform public surveillance.</w:t>
      </w:r>
    </w:p>
    <w:p w14:paraId="06AD7630" w14:textId="77777777" w:rsidR="008D2E0B" w:rsidRDefault="00AC5CB3">
      <w:pPr>
        <w:numPr>
          <w:ilvl w:val="0"/>
          <w:numId w:val="1"/>
        </w:numPr>
        <w:spacing w:line="240" w:lineRule="auto"/>
        <w:rPr>
          <w:sz w:val="23"/>
          <w:szCs w:val="23"/>
        </w:rPr>
      </w:pPr>
      <w:r>
        <w:rPr>
          <w:sz w:val="23"/>
          <w:szCs w:val="23"/>
        </w:rPr>
        <w:t xml:space="preserve">The general prohibition on most government agencies’ use of facial recognition and other remote biometric monitoring technologies. </w:t>
      </w:r>
    </w:p>
    <w:p w14:paraId="479BD293" w14:textId="77777777" w:rsidR="008D2E0B" w:rsidRDefault="00AC5CB3">
      <w:pPr>
        <w:numPr>
          <w:ilvl w:val="0"/>
          <w:numId w:val="1"/>
        </w:numPr>
        <w:spacing w:line="240" w:lineRule="auto"/>
        <w:rPr>
          <w:sz w:val="23"/>
          <w:szCs w:val="23"/>
        </w:rPr>
      </w:pPr>
      <w:r>
        <w:rPr>
          <w:sz w:val="23"/>
          <w:szCs w:val="23"/>
        </w:rPr>
        <w:t>The requirement that law enforcement notify criminal defendants when facial recognition was used in the investigation that led to their arrest and prosecution.</w:t>
      </w:r>
    </w:p>
    <w:p w14:paraId="3FEA21A7" w14:textId="77777777" w:rsidR="008D2E0B" w:rsidRDefault="008D2E0B">
      <w:pPr>
        <w:spacing w:line="240" w:lineRule="auto"/>
        <w:rPr>
          <w:sz w:val="23"/>
          <w:szCs w:val="23"/>
        </w:rPr>
      </w:pPr>
    </w:p>
    <w:p w14:paraId="1419CBC1" w14:textId="4A6EA6A8" w:rsidR="008D2E0B" w:rsidRDefault="00AC5CB3">
      <w:pPr>
        <w:spacing w:line="240" w:lineRule="auto"/>
        <w:rPr>
          <w:sz w:val="23"/>
          <w:szCs w:val="23"/>
        </w:rPr>
      </w:pPr>
      <w:r>
        <w:rPr>
          <w:sz w:val="23"/>
          <w:szCs w:val="23"/>
        </w:rPr>
        <w:t xml:space="preserve">Additionally, </w:t>
      </w:r>
      <w:r w:rsidR="00C77EBF">
        <w:rPr>
          <w:sz w:val="23"/>
          <w:szCs w:val="23"/>
        </w:rPr>
        <w:t>NEAC</w:t>
      </w:r>
      <w:r>
        <w:rPr>
          <w:sz w:val="23"/>
          <w:szCs w:val="23"/>
        </w:rPr>
        <w:t xml:space="preserve"> support</w:t>
      </w:r>
      <w:r w:rsidR="00B24DD3">
        <w:rPr>
          <w:sz w:val="23"/>
          <w:szCs w:val="23"/>
        </w:rPr>
        <w:t>s</w:t>
      </w:r>
      <w:r>
        <w:rPr>
          <w:sz w:val="23"/>
          <w:szCs w:val="23"/>
        </w:rPr>
        <w:t xml:space="preserve"> the framework created by H.135 and S.47 that requires all police searches to be performed by the State Police, instead of allowing every agency across the state to run their own searches. Centralizing the use of the technology will make it possible for civil rights organizations like the NAACP to hold the government accountable for its use of this dangerous technology.</w:t>
      </w:r>
    </w:p>
    <w:p w14:paraId="3CAA548D" w14:textId="77777777" w:rsidR="008D2E0B" w:rsidRDefault="008D2E0B">
      <w:pPr>
        <w:spacing w:line="240" w:lineRule="auto"/>
        <w:rPr>
          <w:sz w:val="23"/>
          <w:szCs w:val="23"/>
        </w:rPr>
      </w:pPr>
    </w:p>
    <w:p w14:paraId="6D7A69DB" w14:textId="4D98F238" w:rsidR="008D2E0B" w:rsidRDefault="00B24DD3">
      <w:pPr>
        <w:spacing w:line="240" w:lineRule="auto"/>
        <w:rPr>
          <w:sz w:val="23"/>
          <w:szCs w:val="23"/>
        </w:rPr>
      </w:pPr>
      <w:r>
        <w:rPr>
          <w:sz w:val="23"/>
          <w:szCs w:val="23"/>
        </w:rPr>
        <w:t xml:space="preserve">Further, NEAC has </w:t>
      </w:r>
      <w:r w:rsidR="00AC5CB3">
        <w:rPr>
          <w:sz w:val="23"/>
          <w:szCs w:val="23"/>
        </w:rPr>
        <w:t>three recommendations to strengthen H.135 and S.47. First, the law should explicitly state that the results of a facial recognition search do not constitute probable cause for arrest or search. Doing so will protect against wrongful arrests. Second, the law should clearly stipulate that law enforcement may only conduct a search after demonstrating to a judge that they have probable cause to believe the unknown person in an image to be identified has committed a serious crime. The language in the statute is not clear on this point. Finally, the law should provide a private right of action for enforcement, so people harmed by violations of the statute can enforce their own rights.</w:t>
      </w:r>
    </w:p>
    <w:p w14:paraId="0C3BDF16" w14:textId="77777777" w:rsidR="008D2E0B" w:rsidRDefault="008D2E0B">
      <w:pPr>
        <w:spacing w:line="240" w:lineRule="auto"/>
        <w:rPr>
          <w:sz w:val="23"/>
          <w:szCs w:val="23"/>
        </w:rPr>
      </w:pPr>
    </w:p>
    <w:p w14:paraId="6FEA1173" w14:textId="07EEFD7D" w:rsidR="008D2E0B" w:rsidRDefault="00B24DD3">
      <w:pPr>
        <w:spacing w:line="240" w:lineRule="auto"/>
        <w:rPr>
          <w:sz w:val="23"/>
          <w:szCs w:val="23"/>
        </w:rPr>
      </w:pPr>
      <w:r>
        <w:rPr>
          <w:sz w:val="23"/>
          <w:szCs w:val="23"/>
        </w:rPr>
        <w:t xml:space="preserve">NEAC asserts that the Commonwealth should not </w:t>
      </w:r>
      <w:r w:rsidR="00AC5CB3">
        <w:rPr>
          <w:sz w:val="23"/>
          <w:szCs w:val="23"/>
        </w:rPr>
        <w:t>wait for</w:t>
      </w:r>
      <w:r>
        <w:rPr>
          <w:sz w:val="23"/>
          <w:szCs w:val="23"/>
        </w:rPr>
        <w:t xml:space="preserve"> the </w:t>
      </w:r>
      <w:r w:rsidR="00AC5CB3">
        <w:rPr>
          <w:sz w:val="23"/>
          <w:szCs w:val="23"/>
        </w:rPr>
        <w:t xml:space="preserve">federal government to step in to properly regulate technology that is already used by police </w:t>
      </w:r>
      <w:r>
        <w:rPr>
          <w:sz w:val="23"/>
          <w:szCs w:val="23"/>
        </w:rPr>
        <w:t>in the Commonwealth</w:t>
      </w:r>
      <w:r w:rsidR="00AC5CB3">
        <w:rPr>
          <w:sz w:val="23"/>
          <w:szCs w:val="23"/>
        </w:rPr>
        <w:t xml:space="preserve">, and we </w:t>
      </w:r>
      <w:r>
        <w:rPr>
          <w:sz w:val="23"/>
          <w:szCs w:val="23"/>
        </w:rPr>
        <w:lastRenderedPageBreak/>
        <w:t xml:space="preserve">should not </w:t>
      </w:r>
      <w:r w:rsidR="00AC5CB3">
        <w:rPr>
          <w:sz w:val="23"/>
          <w:szCs w:val="23"/>
        </w:rPr>
        <w:t xml:space="preserve">allow tech companies or other self-interested parties to dictate </w:t>
      </w:r>
      <w:r>
        <w:rPr>
          <w:sz w:val="23"/>
          <w:szCs w:val="23"/>
        </w:rPr>
        <w:t xml:space="preserve">citizen’s </w:t>
      </w:r>
      <w:r w:rsidR="00AC5CB3">
        <w:rPr>
          <w:sz w:val="23"/>
          <w:szCs w:val="23"/>
        </w:rPr>
        <w:t>rights. We must strengthen the law to protect the public.</w:t>
      </w:r>
    </w:p>
    <w:p w14:paraId="01AC6D68" w14:textId="77777777" w:rsidR="008D2E0B" w:rsidRDefault="00AC5CB3">
      <w:pPr>
        <w:spacing w:line="240" w:lineRule="auto"/>
        <w:rPr>
          <w:sz w:val="23"/>
          <w:szCs w:val="23"/>
        </w:rPr>
      </w:pPr>
      <w:r>
        <w:rPr>
          <w:sz w:val="23"/>
          <w:szCs w:val="23"/>
        </w:rPr>
        <w:t xml:space="preserve"> </w:t>
      </w:r>
    </w:p>
    <w:p w14:paraId="4EEDCF60" w14:textId="7D6742A3" w:rsidR="008D2E0B" w:rsidRDefault="00AC5CB3">
      <w:pPr>
        <w:spacing w:line="240" w:lineRule="auto"/>
        <w:rPr>
          <w:sz w:val="23"/>
          <w:szCs w:val="23"/>
        </w:rPr>
      </w:pPr>
      <w:r>
        <w:rPr>
          <w:sz w:val="23"/>
          <w:szCs w:val="23"/>
        </w:rPr>
        <w:t xml:space="preserve">Over the past year, the country and the Commonwealth have been engaged in a national reckoning </w:t>
      </w:r>
      <w:r w:rsidR="00B24DD3">
        <w:rPr>
          <w:sz w:val="23"/>
          <w:szCs w:val="23"/>
        </w:rPr>
        <w:t xml:space="preserve">regarding gross </w:t>
      </w:r>
      <w:r>
        <w:rPr>
          <w:sz w:val="23"/>
          <w:szCs w:val="23"/>
        </w:rPr>
        <w:t xml:space="preserve">police </w:t>
      </w:r>
      <w:r w:rsidR="00B24DD3">
        <w:rPr>
          <w:sz w:val="23"/>
          <w:szCs w:val="23"/>
        </w:rPr>
        <w:t xml:space="preserve">misconduct and </w:t>
      </w:r>
      <w:r>
        <w:rPr>
          <w:sz w:val="23"/>
          <w:szCs w:val="23"/>
        </w:rPr>
        <w:t>violence</w:t>
      </w:r>
      <w:r w:rsidR="00B24DD3">
        <w:rPr>
          <w:sz w:val="23"/>
          <w:szCs w:val="23"/>
        </w:rPr>
        <w:t>, particularly against Black citizens</w:t>
      </w:r>
      <w:r>
        <w:rPr>
          <w:sz w:val="23"/>
          <w:szCs w:val="23"/>
        </w:rPr>
        <w:t xml:space="preserve"> and systemic racism. </w:t>
      </w:r>
      <w:r w:rsidR="00B24DD3">
        <w:rPr>
          <w:sz w:val="23"/>
          <w:szCs w:val="23"/>
        </w:rPr>
        <w:t>NEAC</w:t>
      </w:r>
      <w:r>
        <w:rPr>
          <w:sz w:val="23"/>
          <w:szCs w:val="23"/>
        </w:rPr>
        <w:t xml:space="preserve"> encourage</w:t>
      </w:r>
      <w:r w:rsidR="00B24DD3">
        <w:rPr>
          <w:sz w:val="23"/>
          <w:szCs w:val="23"/>
        </w:rPr>
        <w:t>s</w:t>
      </w:r>
      <w:r>
        <w:rPr>
          <w:sz w:val="23"/>
          <w:szCs w:val="23"/>
        </w:rPr>
        <w:t xml:space="preserve"> you to recommend </w:t>
      </w:r>
      <w:r w:rsidR="00B24DD3">
        <w:rPr>
          <w:sz w:val="23"/>
          <w:szCs w:val="23"/>
        </w:rPr>
        <w:t xml:space="preserve">that </w:t>
      </w:r>
      <w:r>
        <w:rPr>
          <w:sz w:val="23"/>
          <w:szCs w:val="23"/>
        </w:rPr>
        <w:t xml:space="preserve">the legislature pass H.135 and S.47 to ensure </w:t>
      </w:r>
      <w:r w:rsidR="00B24DD3">
        <w:rPr>
          <w:sz w:val="23"/>
          <w:szCs w:val="23"/>
        </w:rPr>
        <w:t xml:space="preserve">that </w:t>
      </w:r>
      <w:r>
        <w:rPr>
          <w:sz w:val="23"/>
          <w:szCs w:val="23"/>
        </w:rPr>
        <w:t>face surveillance technology cannot be used to harm Black</w:t>
      </w:r>
      <w:r w:rsidR="00B24DD3">
        <w:rPr>
          <w:sz w:val="23"/>
          <w:szCs w:val="23"/>
        </w:rPr>
        <w:t>s</w:t>
      </w:r>
      <w:r>
        <w:rPr>
          <w:sz w:val="23"/>
          <w:szCs w:val="23"/>
        </w:rPr>
        <w:t xml:space="preserve"> and </w:t>
      </w:r>
      <w:r w:rsidR="00B24DD3">
        <w:rPr>
          <w:sz w:val="23"/>
          <w:szCs w:val="23"/>
        </w:rPr>
        <w:t xml:space="preserve">all citizens </w:t>
      </w:r>
      <w:r>
        <w:rPr>
          <w:sz w:val="23"/>
          <w:szCs w:val="23"/>
        </w:rPr>
        <w:t xml:space="preserve">in </w:t>
      </w:r>
      <w:r w:rsidR="00B24DD3">
        <w:rPr>
          <w:sz w:val="23"/>
          <w:szCs w:val="23"/>
        </w:rPr>
        <w:t>the Commonwealth.</w:t>
      </w:r>
    </w:p>
    <w:p w14:paraId="7D745582" w14:textId="77777777" w:rsidR="00633600" w:rsidRDefault="00633600">
      <w:pPr>
        <w:spacing w:line="240" w:lineRule="auto"/>
        <w:rPr>
          <w:sz w:val="23"/>
          <w:szCs w:val="23"/>
        </w:rPr>
      </w:pPr>
    </w:p>
    <w:p w14:paraId="1439703E" w14:textId="77777777" w:rsidR="008D2E0B" w:rsidRDefault="008D2E0B">
      <w:pPr>
        <w:spacing w:line="240" w:lineRule="auto"/>
        <w:rPr>
          <w:sz w:val="23"/>
          <w:szCs w:val="23"/>
        </w:rPr>
      </w:pPr>
    </w:p>
    <w:p w14:paraId="7A93C73F" w14:textId="77777777" w:rsidR="008D2E0B" w:rsidRDefault="00AC5CB3">
      <w:pPr>
        <w:spacing w:line="240" w:lineRule="auto"/>
        <w:rPr>
          <w:sz w:val="23"/>
          <w:szCs w:val="23"/>
        </w:rPr>
      </w:pPr>
      <w:r>
        <w:rPr>
          <w:sz w:val="23"/>
          <w:szCs w:val="23"/>
        </w:rPr>
        <w:t>Sincerely,</w:t>
      </w:r>
    </w:p>
    <w:p w14:paraId="124FBC18" w14:textId="78700641" w:rsidR="008D2E0B" w:rsidRDefault="008D2E0B">
      <w:pPr>
        <w:spacing w:line="240" w:lineRule="auto"/>
        <w:rPr>
          <w:sz w:val="23"/>
          <w:szCs w:val="23"/>
        </w:rPr>
      </w:pPr>
    </w:p>
    <w:p w14:paraId="7CACE299" w14:textId="74C3897E" w:rsidR="00B24DD3" w:rsidRPr="00633600" w:rsidRDefault="00633600">
      <w:pPr>
        <w:spacing w:line="240" w:lineRule="auto"/>
        <w:rPr>
          <w:rFonts w:ascii="Edwardian Script ITC" w:hAnsi="Edwardian Script ITC"/>
          <w:b/>
          <w:bCs/>
          <w:sz w:val="36"/>
          <w:szCs w:val="36"/>
        </w:rPr>
      </w:pPr>
      <w:r w:rsidRPr="00633600">
        <w:rPr>
          <w:rFonts w:ascii="Edwardian Script ITC" w:hAnsi="Edwardian Script ITC"/>
          <w:b/>
          <w:bCs/>
          <w:sz w:val="36"/>
          <w:szCs w:val="36"/>
        </w:rPr>
        <w:t>Juan M. Cofield</w:t>
      </w:r>
    </w:p>
    <w:p w14:paraId="17EF901B" w14:textId="2BDEFBA0" w:rsidR="008D2E0B" w:rsidRDefault="00AC5CB3">
      <w:pPr>
        <w:spacing w:line="240" w:lineRule="auto"/>
        <w:rPr>
          <w:sz w:val="23"/>
          <w:szCs w:val="23"/>
        </w:rPr>
      </w:pPr>
      <w:r>
        <w:rPr>
          <w:sz w:val="23"/>
          <w:szCs w:val="23"/>
        </w:rPr>
        <w:t xml:space="preserve">Juan </w:t>
      </w:r>
      <w:r w:rsidR="00B24DD3">
        <w:rPr>
          <w:sz w:val="23"/>
          <w:szCs w:val="23"/>
        </w:rPr>
        <w:t xml:space="preserve">M. </w:t>
      </w:r>
      <w:r>
        <w:rPr>
          <w:sz w:val="23"/>
          <w:szCs w:val="23"/>
        </w:rPr>
        <w:t>Cofield</w:t>
      </w:r>
    </w:p>
    <w:p w14:paraId="2467EDFC" w14:textId="4C01B455" w:rsidR="00B24DD3" w:rsidRDefault="00B24DD3">
      <w:pPr>
        <w:spacing w:line="240" w:lineRule="auto"/>
        <w:rPr>
          <w:sz w:val="23"/>
          <w:szCs w:val="23"/>
        </w:rPr>
      </w:pPr>
      <w:r>
        <w:rPr>
          <w:sz w:val="23"/>
          <w:szCs w:val="23"/>
        </w:rPr>
        <w:t>President</w:t>
      </w:r>
    </w:p>
    <w:p w14:paraId="5C7815CD" w14:textId="0C7EA987" w:rsidR="008D2E0B" w:rsidRDefault="008D2E0B">
      <w:pPr>
        <w:spacing w:line="240" w:lineRule="auto"/>
        <w:rPr>
          <w:sz w:val="24"/>
          <w:szCs w:val="24"/>
        </w:rPr>
      </w:pPr>
    </w:p>
    <w:p w14:paraId="723A522B" w14:textId="426F2951" w:rsidR="00633600" w:rsidRDefault="00633600">
      <w:pPr>
        <w:spacing w:line="240" w:lineRule="auto"/>
        <w:rPr>
          <w:sz w:val="24"/>
          <w:szCs w:val="24"/>
        </w:rPr>
      </w:pPr>
    </w:p>
    <w:p w14:paraId="3D90DF45" w14:textId="79D2218B" w:rsidR="00633600" w:rsidRDefault="00633600">
      <w:pPr>
        <w:spacing w:line="240" w:lineRule="auto"/>
        <w:rPr>
          <w:sz w:val="24"/>
          <w:szCs w:val="24"/>
        </w:rPr>
      </w:pPr>
    </w:p>
    <w:p w14:paraId="0D5DDCA4" w14:textId="64E63EE4" w:rsidR="00633600" w:rsidRDefault="00633600">
      <w:pPr>
        <w:spacing w:line="240" w:lineRule="auto"/>
        <w:rPr>
          <w:sz w:val="24"/>
          <w:szCs w:val="24"/>
        </w:rPr>
      </w:pPr>
    </w:p>
    <w:p w14:paraId="70079D52" w14:textId="6F2B5397" w:rsidR="00633600" w:rsidRDefault="00633600">
      <w:pPr>
        <w:spacing w:line="240" w:lineRule="auto"/>
        <w:rPr>
          <w:sz w:val="24"/>
          <w:szCs w:val="24"/>
        </w:rPr>
      </w:pPr>
    </w:p>
    <w:p w14:paraId="6C32AAFC" w14:textId="6ED66B5F" w:rsidR="00633600" w:rsidRDefault="00633600">
      <w:pPr>
        <w:spacing w:line="240" w:lineRule="auto"/>
        <w:rPr>
          <w:sz w:val="24"/>
          <w:szCs w:val="24"/>
        </w:rPr>
      </w:pPr>
    </w:p>
    <w:p w14:paraId="32E21605" w14:textId="2673970F" w:rsidR="00633600" w:rsidRDefault="00633600">
      <w:pPr>
        <w:spacing w:line="240" w:lineRule="auto"/>
        <w:rPr>
          <w:sz w:val="24"/>
          <w:szCs w:val="24"/>
        </w:rPr>
      </w:pPr>
    </w:p>
    <w:p w14:paraId="3B76DABD" w14:textId="59B258A7" w:rsidR="00633600" w:rsidRDefault="00633600">
      <w:pPr>
        <w:spacing w:line="240" w:lineRule="auto"/>
        <w:rPr>
          <w:sz w:val="24"/>
          <w:szCs w:val="24"/>
        </w:rPr>
      </w:pPr>
    </w:p>
    <w:p w14:paraId="29FFF043" w14:textId="5AB0FBE7" w:rsidR="00633600" w:rsidRDefault="00633600">
      <w:pPr>
        <w:spacing w:line="240" w:lineRule="auto"/>
        <w:rPr>
          <w:sz w:val="24"/>
          <w:szCs w:val="24"/>
        </w:rPr>
      </w:pPr>
    </w:p>
    <w:p w14:paraId="52BCA449" w14:textId="29F7566B" w:rsidR="00633600" w:rsidRDefault="00633600">
      <w:pPr>
        <w:spacing w:line="240" w:lineRule="auto"/>
        <w:rPr>
          <w:sz w:val="24"/>
          <w:szCs w:val="24"/>
        </w:rPr>
      </w:pPr>
    </w:p>
    <w:p w14:paraId="10BB0ECE" w14:textId="7333B6B2" w:rsidR="00633600" w:rsidRDefault="00633600">
      <w:pPr>
        <w:spacing w:line="240" w:lineRule="auto"/>
        <w:rPr>
          <w:sz w:val="24"/>
          <w:szCs w:val="24"/>
        </w:rPr>
      </w:pPr>
    </w:p>
    <w:p w14:paraId="21F4BDE8" w14:textId="45262ED8" w:rsidR="00633600" w:rsidRDefault="00633600">
      <w:pPr>
        <w:spacing w:line="240" w:lineRule="auto"/>
        <w:rPr>
          <w:sz w:val="24"/>
          <w:szCs w:val="24"/>
        </w:rPr>
      </w:pPr>
    </w:p>
    <w:p w14:paraId="64DFEBD5" w14:textId="77777777" w:rsidR="00633600" w:rsidRDefault="00633600">
      <w:pPr>
        <w:spacing w:line="240" w:lineRule="auto"/>
        <w:rPr>
          <w:sz w:val="24"/>
          <w:szCs w:val="24"/>
        </w:rPr>
      </w:pPr>
    </w:p>
    <w:p w14:paraId="05E949F2" w14:textId="77777777" w:rsidR="008D2E0B" w:rsidRDefault="001A0AE0">
      <w:pPr>
        <w:spacing w:line="240" w:lineRule="auto"/>
        <w:rPr>
          <w:sz w:val="24"/>
          <w:szCs w:val="24"/>
        </w:rPr>
      </w:pPr>
      <w:r>
        <w:pict w14:anchorId="2D66A0AF">
          <v:rect id="_x0000_i1025" style="width:0;height:1.5pt" o:hralign="center" o:hrstd="t" o:hr="t" fillcolor="#a0a0a0" stroked="f"/>
        </w:pict>
      </w:r>
    </w:p>
    <w:p w14:paraId="61C66EAD" w14:textId="77777777" w:rsidR="008D2E0B" w:rsidRDefault="00AC5CB3">
      <w:pPr>
        <w:spacing w:line="240" w:lineRule="auto"/>
        <w:rPr>
          <w:rFonts w:ascii="Garamond" w:eastAsia="Garamond" w:hAnsi="Garamond" w:cs="Garamond"/>
          <w:color w:val="1155CC"/>
          <w:sz w:val="24"/>
          <w:szCs w:val="24"/>
          <w:u w:val="single"/>
        </w:rPr>
      </w:pPr>
      <w:r>
        <w:rPr>
          <w:rFonts w:ascii="Garamond" w:eastAsia="Garamond" w:hAnsi="Garamond" w:cs="Garamond"/>
          <w:sz w:val="20"/>
          <w:szCs w:val="20"/>
        </w:rPr>
        <w:t>[1]</w:t>
      </w:r>
      <w:r>
        <w:rPr>
          <w:rFonts w:ascii="Garamond" w:eastAsia="Garamond" w:hAnsi="Garamond" w:cs="Garamond"/>
          <w:sz w:val="24"/>
          <w:szCs w:val="24"/>
        </w:rPr>
        <w:t xml:space="preserve"> Joy </w:t>
      </w:r>
      <w:proofErr w:type="spellStart"/>
      <w:r>
        <w:rPr>
          <w:rFonts w:ascii="Garamond" w:eastAsia="Garamond" w:hAnsi="Garamond" w:cs="Garamond"/>
          <w:sz w:val="24"/>
          <w:szCs w:val="24"/>
        </w:rPr>
        <w:t>Buolamwini</w:t>
      </w:r>
      <w:proofErr w:type="spellEnd"/>
      <w:r>
        <w:rPr>
          <w:rFonts w:ascii="Garamond" w:eastAsia="Garamond" w:hAnsi="Garamond" w:cs="Garamond"/>
          <w:sz w:val="24"/>
          <w:szCs w:val="24"/>
        </w:rPr>
        <w:t xml:space="preserve"> et al, Gender Shades, MIT Media Lab.</w:t>
      </w:r>
      <w:hyperlink r:id="rId6">
        <w:r>
          <w:rPr>
            <w:rFonts w:ascii="Garamond" w:eastAsia="Garamond" w:hAnsi="Garamond" w:cs="Garamond"/>
            <w:sz w:val="24"/>
            <w:szCs w:val="24"/>
          </w:rPr>
          <w:t xml:space="preserve"> </w:t>
        </w:r>
      </w:hyperlink>
      <w:hyperlink r:id="rId7">
        <w:r>
          <w:rPr>
            <w:rFonts w:ascii="Garamond" w:eastAsia="Garamond" w:hAnsi="Garamond" w:cs="Garamond"/>
            <w:color w:val="1155CC"/>
            <w:sz w:val="24"/>
            <w:szCs w:val="24"/>
            <w:u w:val="single"/>
          </w:rPr>
          <w:t>https://www.media.mit.edu/projects/gender-shades/overview/</w:t>
        </w:r>
      </w:hyperlink>
    </w:p>
    <w:p w14:paraId="1490D1AB" w14:textId="77777777" w:rsidR="008D2E0B" w:rsidRDefault="00AC5CB3">
      <w:pPr>
        <w:spacing w:line="240" w:lineRule="auto"/>
        <w:rPr>
          <w:rFonts w:ascii="Garamond" w:eastAsia="Garamond" w:hAnsi="Garamond" w:cs="Garamond"/>
          <w:color w:val="1155CC"/>
          <w:sz w:val="24"/>
          <w:szCs w:val="24"/>
          <w:u w:val="single"/>
        </w:rPr>
      </w:pPr>
      <w:r>
        <w:rPr>
          <w:rFonts w:ascii="Garamond" w:eastAsia="Garamond" w:hAnsi="Garamond" w:cs="Garamond"/>
          <w:sz w:val="20"/>
          <w:szCs w:val="20"/>
        </w:rPr>
        <w:t>[2]</w:t>
      </w:r>
      <w:r>
        <w:rPr>
          <w:rFonts w:ascii="Garamond" w:eastAsia="Garamond" w:hAnsi="Garamond" w:cs="Garamond"/>
          <w:sz w:val="24"/>
          <w:szCs w:val="24"/>
        </w:rPr>
        <w:t xml:space="preserve"> See National Institute of Standards and Technology, Face Recognition Vendor Test (FRVT) Part 3: Demographic Effects, Patrick Grother, Mei Ngan, Kayee Hanaoka, December 2019.</w:t>
      </w:r>
      <w:hyperlink r:id="rId8">
        <w:r>
          <w:rPr>
            <w:rFonts w:ascii="Garamond" w:eastAsia="Garamond" w:hAnsi="Garamond" w:cs="Garamond"/>
            <w:sz w:val="24"/>
            <w:szCs w:val="24"/>
          </w:rPr>
          <w:t xml:space="preserve"> </w:t>
        </w:r>
      </w:hyperlink>
      <w:hyperlink r:id="rId9">
        <w:r>
          <w:rPr>
            <w:rFonts w:ascii="Garamond" w:eastAsia="Garamond" w:hAnsi="Garamond" w:cs="Garamond"/>
            <w:color w:val="1155CC"/>
            <w:sz w:val="24"/>
            <w:szCs w:val="24"/>
            <w:u w:val="single"/>
          </w:rPr>
          <w:t>https://nvlpubs.nist.gov/nistpubs/ir/2019/NIST.IR.8280.pdf</w:t>
        </w:r>
      </w:hyperlink>
    </w:p>
    <w:p w14:paraId="12C85967" w14:textId="77777777" w:rsidR="008D2E0B" w:rsidRDefault="00AC5CB3">
      <w:pPr>
        <w:spacing w:line="240" w:lineRule="auto"/>
        <w:rPr>
          <w:rFonts w:ascii="Garamond" w:eastAsia="Garamond" w:hAnsi="Garamond" w:cs="Garamond"/>
          <w:sz w:val="18"/>
          <w:szCs w:val="18"/>
        </w:rPr>
      </w:pPr>
      <w:r>
        <w:rPr>
          <w:rFonts w:ascii="Garamond" w:eastAsia="Garamond" w:hAnsi="Garamond" w:cs="Garamond"/>
          <w:sz w:val="18"/>
          <w:szCs w:val="18"/>
        </w:rPr>
        <w:t>[3] See Shira Schoenberg, Study Tracks Racial Disparities In Massachusetts Marijuana Arrests, MassLive, available at</w:t>
      </w:r>
      <w:hyperlink r:id="rId10">
        <w:r>
          <w:rPr>
            <w:rFonts w:ascii="Garamond" w:eastAsia="Garamond" w:hAnsi="Garamond" w:cs="Garamond"/>
            <w:sz w:val="18"/>
            <w:szCs w:val="18"/>
          </w:rPr>
          <w:t xml:space="preserve"> </w:t>
        </w:r>
      </w:hyperlink>
      <w:hyperlink r:id="rId11">
        <w:r>
          <w:rPr>
            <w:rFonts w:ascii="Garamond" w:eastAsia="Garamond" w:hAnsi="Garamond" w:cs="Garamond"/>
            <w:color w:val="1155CC"/>
            <w:sz w:val="24"/>
            <w:szCs w:val="24"/>
            <w:u w:val="single"/>
          </w:rPr>
          <w:t>https://www.masslive.com/news/2019/04/study-tracks-racial-disparities-in-massachusetts-marijuana-arrests.html</w:t>
        </w:r>
      </w:hyperlink>
      <w:r>
        <w:rPr>
          <w:rFonts w:ascii="Garamond" w:eastAsia="Garamond" w:hAnsi="Garamond" w:cs="Garamond"/>
          <w:sz w:val="18"/>
          <w:szCs w:val="18"/>
        </w:rPr>
        <w:t xml:space="preserve"> and Massachusetts Cannabis Control Commission, A Baseline Review and Assessment of Cannabis Use and Public Safety, April 2019, available at</w:t>
      </w:r>
      <w:hyperlink r:id="rId12">
        <w:r>
          <w:rPr>
            <w:rFonts w:ascii="Garamond" w:eastAsia="Garamond" w:hAnsi="Garamond" w:cs="Garamond"/>
            <w:sz w:val="18"/>
            <w:szCs w:val="18"/>
          </w:rPr>
          <w:t xml:space="preserve"> </w:t>
        </w:r>
      </w:hyperlink>
      <w:hyperlink r:id="rId13">
        <w:r>
          <w:rPr>
            <w:rFonts w:ascii="Garamond" w:eastAsia="Garamond" w:hAnsi="Garamond" w:cs="Garamond"/>
            <w:color w:val="1155CC"/>
            <w:sz w:val="24"/>
            <w:szCs w:val="24"/>
            <w:u w:val="single"/>
          </w:rPr>
          <w:t>https://mass-cannabis-control.com/wp-content/uploads/2019/04/1.-RR2-94C-Violations-FINAL.pdf</w:t>
        </w:r>
      </w:hyperlink>
      <w:r>
        <w:rPr>
          <w:rFonts w:ascii="Garamond" w:eastAsia="Garamond" w:hAnsi="Garamond" w:cs="Garamond"/>
          <w:sz w:val="18"/>
          <w:szCs w:val="18"/>
        </w:rPr>
        <w:t>. See also ACLU of Massachusetts, Ending Racist Stop And Frisk, available at</w:t>
      </w:r>
      <w:hyperlink r:id="rId14">
        <w:r>
          <w:rPr>
            <w:rFonts w:ascii="Garamond" w:eastAsia="Garamond" w:hAnsi="Garamond" w:cs="Garamond"/>
            <w:sz w:val="18"/>
            <w:szCs w:val="18"/>
          </w:rPr>
          <w:t xml:space="preserve"> </w:t>
        </w:r>
      </w:hyperlink>
      <w:hyperlink r:id="rId15">
        <w:r>
          <w:rPr>
            <w:rFonts w:ascii="Garamond" w:eastAsia="Garamond" w:hAnsi="Garamond" w:cs="Garamond"/>
            <w:color w:val="1155CC"/>
            <w:sz w:val="24"/>
            <w:szCs w:val="24"/>
            <w:u w:val="single"/>
          </w:rPr>
          <w:t>https://www.aclum.org/en/ending-racist-stop-and-frisk</w:t>
        </w:r>
      </w:hyperlink>
      <w:r>
        <w:rPr>
          <w:rFonts w:ascii="Garamond" w:eastAsia="Garamond" w:hAnsi="Garamond" w:cs="Garamond"/>
          <w:sz w:val="18"/>
          <w:szCs w:val="18"/>
        </w:rPr>
        <w:t>.</w:t>
      </w:r>
    </w:p>
    <w:p w14:paraId="2B1A7473" w14:textId="77777777" w:rsidR="008D2E0B" w:rsidRDefault="008D2E0B">
      <w:pPr>
        <w:spacing w:line="240" w:lineRule="auto"/>
        <w:rPr>
          <w:sz w:val="24"/>
          <w:szCs w:val="24"/>
        </w:rPr>
      </w:pPr>
    </w:p>
    <w:p w14:paraId="30F223D0" w14:textId="77777777" w:rsidR="008D2E0B" w:rsidRDefault="008D2E0B"/>
    <w:sectPr w:rsidR="008D2E0B" w:rsidSect="009209AB">
      <w:pgSz w:w="12240" w:h="15840"/>
      <w:pgMar w:top="9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CC34A4"/>
    <w:multiLevelType w:val="multilevel"/>
    <w:tmpl w:val="6EAAF5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03838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E0B"/>
    <w:rsid w:val="001A0AE0"/>
    <w:rsid w:val="004B52D3"/>
    <w:rsid w:val="005E1A34"/>
    <w:rsid w:val="006110C0"/>
    <w:rsid w:val="00633600"/>
    <w:rsid w:val="00873C6C"/>
    <w:rsid w:val="008D2E0B"/>
    <w:rsid w:val="009209AB"/>
    <w:rsid w:val="00AC5CB3"/>
    <w:rsid w:val="00B24DD3"/>
    <w:rsid w:val="00BE6F63"/>
    <w:rsid w:val="00C36599"/>
    <w:rsid w:val="00C77EBF"/>
    <w:rsid w:val="00F76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114682"/>
  <w15:docId w15:val="{DEEE2CE6-F52F-4C6A-A24C-8891E36B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nvlpubs.nist.gov/nistpubs/ir/2019/NIST.IR.8280.pdf" TargetMode="External"/><Relationship Id="rId13" Type="http://schemas.openxmlformats.org/officeDocument/2006/relationships/hyperlink" Target="https://mass-cannabis-control.com/wp-content/uploads/2019/04/1.-RR2-94C-Violations-FINAL.pdf" TargetMode="External"/><Relationship Id="rId3" Type="http://schemas.openxmlformats.org/officeDocument/2006/relationships/settings" Target="settings.xml"/><Relationship Id="rId7" Type="http://schemas.openxmlformats.org/officeDocument/2006/relationships/hyperlink" Target="https://www.media.mit.edu/projects/gender-shades/overview/" TargetMode="External"/><Relationship Id="rId12" Type="http://schemas.openxmlformats.org/officeDocument/2006/relationships/hyperlink" Target="https://mass-cannabis-control.com/wp-content/uploads/2019/04/1.-RR2-94C-Violations-FINAL.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edia.mit.edu/projects/gender-shades/overview/" TargetMode="External"/><Relationship Id="rId11" Type="http://schemas.openxmlformats.org/officeDocument/2006/relationships/hyperlink" Target="https://www.masslive.com/news/2019/04/study-tracks-racial-disparities-in-massachusetts-marijuana-arrests.html" TargetMode="External"/><Relationship Id="rId5" Type="http://schemas.openxmlformats.org/officeDocument/2006/relationships/image" Target="media/image1.emf"/><Relationship Id="rId15" Type="http://schemas.openxmlformats.org/officeDocument/2006/relationships/hyperlink" Target="https://www.aclum.org/en/ending-racist-stop-and-frisk" TargetMode="External"/><Relationship Id="rId10" Type="http://schemas.openxmlformats.org/officeDocument/2006/relationships/hyperlink" Target="https://www.masslive.com/news/2019/04/study-tracks-racial-disparities-in-massachusetts-marijuana-arrests.html" TargetMode="External"/><Relationship Id="rId4" Type="http://schemas.openxmlformats.org/officeDocument/2006/relationships/webSettings" Target="webSettings.xml"/><Relationship Id="rId9" Type="http://schemas.openxmlformats.org/officeDocument/2006/relationships/hyperlink" Target="https://nvlpubs.nist.gov/nistpubs/ir/2019/NIST.IR.8280.pdf" TargetMode="External"/><Relationship Id="rId14" Type="http://schemas.openxmlformats.org/officeDocument/2006/relationships/hyperlink" Target="https://www.aclum.org/en/ending-racist-stop-and-fr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RHall</dc:creator>
  <cp:lastModifiedBy>Morris, Alison (HOU)</cp:lastModifiedBy>
  <cp:revision>2</cp:revision>
  <cp:lastPrinted>2021-07-30T17:58:00Z</cp:lastPrinted>
  <dcterms:created xsi:type="dcterms:W3CDTF">2024-09-25T18:08:00Z</dcterms:created>
  <dcterms:modified xsi:type="dcterms:W3CDTF">2024-09-25T18:08:00Z</dcterms:modified>
</cp:coreProperties>
</file>