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D3261D" wp14:paraId="4B0E1D26" wp14:textId="20CCAF4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0D3261D" w:rsidR="2069E1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Continuing Care Retirement Community (CCRC) Commission</w:t>
      </w:r>
      <w:r w:rsidRPr="60D3261D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60D3261D" wp14:paraId="332B5CF0" wp14:textId="79FEAC05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60D3261D" wp14:paraId="016D7046" wp14:textId="65AFD0BC">
      <w:pPr>
        <w:spacing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3261D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Meeting Minutes </w:t>
      </w:r>
    </w:p>
    <w:p xmlns:wp14="http://schemas.microsoft.com/office/word/2010/wordml" w:rsidP="0CFA1C7C" wp14:paraId="1E050037" wp14:textId="2CDDBC17">
      <w:pPr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FA1C7C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</w:t>
      </w:r>
      <w:r w:rsidRPr="0CFA1C7C" w:rsidR="418D8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 7</w:t>
      </w:r>
      <w:r w:rsidRPr="0CFA1C7C" w:rsidR="418D8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CFA1C7C" w:rsidR="418D8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CFA1C7C" wp14:paraId="44BD4710" wp14:textId="0454890B">
      <w:pPr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FA1C7C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10:00 AM – 12:00 PM</w:t>
      </w:r>
    </w:p>
    <w:p xmlns:wp14="http://schemas.microsoft.com/office/word/2010/wordml" w:rsidP="60D3261D" wp14:paraId="1977486E" wp14:textId="3502B341">
      <w:pPr>
        <w:spacing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3261D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_____________________________________________________________________________</w:t>
      </w:r>
    </w:p>
    <w:p xmlns:wp14="http://schemas.microsoft.com/office/word/2010/wordml" w:rsidP="60D3261D" wp14:paraId="7A1E6C99" wp14:textId="46B419A6">
      <w:pPr>
        <w:spacing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CFA1C7C" wp14:paraId="1D9547F5" wp14:textId="0A31BC77">
      <w:p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FA1C7C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 of Meeting: Ju</w:t>
      </w:r>
      <w:r w:rsidRPr="0CFA1C7C" w:rsidR="30033C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 7</w:t>
      </w:r>
      <w:r w:rsidRPr="0CFA1C7C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2025 </w:t>
      </w:r>
    </w:p>
    <w:p xmlns:wp14="http://schemas.microsoft.com/office/word/2010/wordml" w:rsidP="60D3261D" wp14:paraId="45492CEE" wp14:textId="43C3483D">
      <w:p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3261D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Start Time: 10:00 AM </w:t>
      </w:r>
    </w:p>
    <w:p xmlns:wp14="http://schemas.microsoft.com/office/word/2010/wordml" w:rsidP="60D3261D" wp14:paraId="31CB060A" wp14:textId="09D313D0">
      <w:p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3261D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End Time: 12:00 PM </w:t>
      </w:r>
    </w:p>
    <w:p xmlns:wp14="http://schemas.microsoft.com/office/word/2010/wordml" w:rsidP="60D3261D" wp14:paraId="49BF8B00" wp14:textId="0556A841">
      <w:p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D3261D" w:rsidR="2069E1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Virtual Meeting (Zoom)</w:t>
      </w:r>
    </w:p>
    <w:p xmlns:wp14="http://schemas.microsoft.com/office/word/2010/wordml" w:rsidP="0CFA1C7C" wp14:paraId="2596ECF6" wp14:textId="1102790E">
      <w:pPr>
        <w:pStyle w:val="Normal"/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525"/>
        <w:gridCol w:w="7640"/>
        <w:gridCol w:w="1125"/>
      </w:tblGrid>
      <w:tr w:rsidR="60D3261D" w:rsidTr="0CFA1C7C" w14:paraId="4AAABE17">
        <w:trPr>
          <w:trHeight w:val="300"/>
        </w:trPr>
        <w:tc>
          <w:tcPr>
            <w:tcW w:w="8165" w:type="dxa"/>
            <w:gridSpan w:val="2"/>
            <w:tcBorders>
              <w:top w:val="single" w:sz="6"/>
              <w:left w:val="single" w:sz="6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  <w:vAlign w:val="top"/>
          </w:tcPr>
          <w:p w:rsidR="60D3261D" w:rsidP="2A9B801F" w:rsidRDefault="60D3261D" w14:paraId="271C095F" w14:textId="0B9487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A9B801F" w:rsidR="1CFC29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Member Attendance</w:t>
            </w:r>
          </w:p>
        </w:tc>
        <w:tc>
          <w:tcPr>
            <w:tcW w:w="1125" w:type="dxa"/>
            <w:tcBorders>
              <w:top w:val="single" w:sz="6"/>
              <w:right w:val="single" w:sz="6"/>
            </w:tcBorders>
            <w:shd w:val="clear" w:color="auto" w:fill="DEEAF6" w:themeFill="accent5" w:themeFillTint="33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539D6113" w14:textId="55B066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Present</w:t>
            </w:r>
          </w:p>
        </w:tc>
      </w:tr>
      <w:tr w:rsidR="60D3261D" w:rsidTr="0CFA1C7C" w14:paraId="58DCBBA4">
        <w:trPr>
          <w:trHeight w:val="300"/>
        </w:trPr>
        <w:tc>
          <w:tcPr>
            <w:tcW w:w="52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3EE59D18" w14:textId="151E9B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6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3F7EE213" w14:textId="0681BC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Thomas Stanley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Joint Committee on Aging and Independence 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(Co-Chair)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2F5F6E7F" w14:textId="7E9604B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X</w:t>
            </w:r>
          </w:p>
        </w:tc>
      </w:tr>
      <w:tr w:rsidR="60D3261D" w:rsidTr="0CFA1C7C" w14:paraId="7BB599D3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3C4A95F2" w14:textId="586515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52C79A67" w14:textId="43FC94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Patricia Jehlen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Joint Committee on Aging and Independence 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US"/>
              </w:rPr>
              <w:t>(Co-Chair)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472463A5" w14:textId="7804052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X</w:t>
            </w:r>
          </w:p>
        </w:tc>
      </w:tr>
      <w:tr w:rsidR="60D3261D" w:rsidTr="0CFA1C7C" w14:paraId="3E6C9D3A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02D8A5BB" w14:textId="497E6C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5DEE48A8" w14:textId="0D1062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James (Jim) Freehling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LeadingAge Massachusetts, Inc. 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7D46AAB5" w14:textId="5D23E1B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X</w:t>
            </w:r>
          </w:p>
        </w:tc>
      </w:tr>
      <w:tr w:rsidR="60D3261D" w:rsidTr="0CFA1C7C" w14:paraId="168B8CA7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769C015C" w14:textId="4603B0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219A3E80" w14:textId="6DECC6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Jean Stringham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Massachusetts Life Care Residents’ Association, Inc. (MLCRA)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27D0E80B" w14:textId="5A315C8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  <w:tr w:rsidR="60D3261D" w:rsidTr="0CFA1C7C" w14:paraId="63FE2A96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5890B81D" w14:textId="0C3DD6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290917CF" w14:textId="20B0BE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Jessica Costantino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AARP Massachusetts 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42853F68" w14:textId="1DFB7A6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  <w:tr w:rsidR="60D3261D" w:rsidTr="0CFA1C7C" w14:paraId="29D278B9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020D7656" w14:textId="71C5EE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599C8369" w14:textId="49230A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Lorraine Kermond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Alzheimer's Association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20820B8D" w14:textId="4325766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X</w:t>
            </w:r>
          </w:p>
        </w:tc>
      </w:tr>
      <w:tr w:rsidR="60D3261D" w:rsidTr="0CFA1C7C" w14:paraId="15D95FC0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5136D578" w14:textId="2F0CB6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6098248B" w14:textId="19C9CB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Matt Hollingshead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Massachusetts Assisted Living Association, Inc. (MASS-ALA)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09315769" w14:textId="6DA2818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  <w:tr w:rsidR="60D3261D" w:rsidTr="0CFA1C7C" w14:paraId="5EA37FC5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2B709B59" w14:textId="1B278A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46A5D026" w14:textId="0C0734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Robin Lipson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Secretary, Executive Office of Aging and Independence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0CFA1C7C" w:rsidRDefault="60D3261D" w14:paraId="28DF3912" w14:textId="3039A92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0CFA1C7C" w:rsidR="4CB1F7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  <w:tr w:rsidR="60D3261D" w:rsidTr="0CFA1C7C" w14:paraId="7AD99063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38DEACE8" w14:textId="6DE473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1D67C7DA" w14:textId="745B93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Steve Davis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Department of Public Health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2BB22E73" w14:textId="1FFBD07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  <w:tr w:rsidR="60D3261D" w:rsidTr="0CFA1C7C" w14:paraId="63651D8E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38F1A9C2" w14:textId="163D00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2AC8F831" w14:textId="0A7EE0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Tara Gregorio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Massachusetts Senior Care Association, Inc.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0CFA1C7C" w:rsidRDefault="60D3261D" w14:paraId="6BA1B54A" w14:textId="54C18E0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0CFA1C7C" w:rsidR="029D8D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  <w:tr w:rsidR="60D3261D" w:rsidTr="0CFA1C7C" w14:paraId="74D35DDA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40DD796C" w14:textId="34EA0D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01D9D36E" w14:textId="2DC3A5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Valerie Frias 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– Attorney General’s Office (AGO)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0CFA1C7C" w:rsidRDefault="60D3261D" w14:paraId="60E84A5F" w14:textId="3375269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0CFA1C7C" w:rsidR="41BB10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  <w:tr w:rsidR="60D3261D" w:rsidTr="0CFA1C7C" w14:paraId="2020D86F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157C2353" w14:textId="3EF560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6B296F48" w14:textId="568DDA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Henry DeLima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– 1199 SEIU Massachusetts 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0CFA1C7C" w:rsidRDefault="60D3261D" w14:paraId="1BC6667D" w14:textId="1E4D579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</w:pPr>
            <w:r w:rsidRPr="0CFA1C7C" w:rsidR="002E44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C</w:t>
            </w:r>
          </w:p>
        </w:tc>
      </w:tr>
      <w:tr w:rsidR="60D3261D" w:rsidTr="0CFA1C7C" w14:paraId="33CFEACF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57981452" w14:textId="446313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4957F8D4" w14:textId="1BAC15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 xml:space="preserve">John Ford - 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Massachusetts Chapter of the National Academy of Elder Law Attorneys (MassNAELA)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2D862A7A" w14:textId="137EC7D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  <w:tr w:rsidR="60D3261D" w:rsidTr="0CFA1C7C" w14:paraId="2EAEC67B">
        <w:trPr>
          <w:trHeight w:val="300"/>
        </w:trPr>
        <w:tc>
          <w:tcPr>
            <w:tcW w:w="52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79206144" w14:textId="61A3E5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7640" w:type="dxa"/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5A5F55CE" w14:textId="7E2B68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Dave VanArsdale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– CCRC Resident</w:t>
            </w:r>
          </w:p>
        </w:tc>
        <w:tc>
          <w:tcPr>
            <w:tcW w:w="11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30F6FA9A" w14:textId="315132B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  <w:tr w:rsidR="60D3261D" w:rsidTr="0CFA1C7C" w14:paraId="1067C11A">
        <w:trPr>
          <w:trHeight w:val="300"/>
        </w:trPr>
        <w:tc>
          <w:tcPr>
            <w:tcW w:w="52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090FED8A" w14:textId="780A99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76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70FC5D72" w14:textId="695BE6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Christine (Chris) Griffin</w:t>
            </w: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– CCRC Resident</w:t>
            </w:r>
          </w:p>
        </w:tc>
        <w:tc>
          <w:tcPr>
            <w:tcW w:w="11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0D3261D" w:rsidP="60D3261D" w:rsidRDefault="60D3261D" w14:paraId="1EEC8FF6" w14:textId="0181DACA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D3261D" w:rsidR="60D32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US"/>
              </w:rPr>
              <w:t>X</w:t>
            </w:r>
          </w:p>
        </w:tc>
      </w:tr>
    </w:tbl>
    <w:p xmlns:wp14="http://schemas.microsoft.com/office/word/2010/wordml" w:rsidP="60D3261D" wp14:paraId="4904F1F0" wp14:textId="4B1C8BA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CFA1C7C" wp14:paraId="2AE4F760" wp14:textId="7C1B250D">
      <w:p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FA1C7C" w:rsidR="368219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Proceedings</w:t>
      </w:r>
      <w:r w:rsidRPr="0CFA1C7C" w:rsidR="36821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 </w:t>
      </w:r>
    </w:p>
    <w:p w:rsidR="0CFA1C7C" w:rsidP="0CFA1C7C" w:rsidRDefault="0CFA1C7C" w14:paraId="12851C0A" w14:textId="05387D17">
      <w:pPr>
        <w:spacing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CFA1C7C" wp14:paraId="772FDE01" wp14:textId="16D20E2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FA1C7C" w:rsidR="36821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Representative Tom Stanley and Senator Patricia </w:t>
      </w:r>
      <w:r w:rsidRPr="0CFA1C7C" w:rsidR="36821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Jehlen</w:t>
      </w:r>
      <w:r w:rsidRPr="0CFA1C7C" w:rsidR="36821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Chairs of the Special Commission on Continuing Care Retirement Communities, opened the meeting at approximately 10:00 AM.</w:t>
      </w:r>
      <w:r w:rsidRPr="0CFA1C7C" w:rsidR="4AB3D9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CFA1C7C" w:rsidR="368219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Chairs welcomed the members of the Commission and thanked those attending the meeting. </w:t>
      </w:r>
    </w:p>
    <w:p w:rsidR="0CFA1C7C" w:rsidP="37A8DC5D" w:rsidRDefault="0CFA1C7C" w14:paraId="529EF1FE" w14:textId="242545D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A8DC5D" w:rsidR="071DE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Julianna Fernandez, Research Director for the </w:t>
      </w:r>
      <w:r w:rsidRPr="37A8DC5D" w:rsidR="071DE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Joi</w:t>
      </w:r>
      <w:r w:rsidRPr="37A8DC5D" w:rsidR="73DF5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37A8DC5D" w:rsidR="071DE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7A8DC5D" w:rsidR="071DE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Committee on Aging and Independence, ran through the agenda for the meeting.</w:t>
      </w:r>
    </w:p>
    <w:p w:rsidR="071DE7BB" w:rsidP="37A8DC5D" w:rsidRDefault="071DE7BB" w14:paraId="609FB128" w14:textId="29F20B3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A8DC5D" w:rsidR="071DE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Before introducing the 2Life Communities presentation, Rep. Stanley discussed the importance of </w:t>
      </w:r>
      <w:r w:rsidRPr="37A8DC5D" w:rsidR="26AB6D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 members </w:t>
      </w:r>
      <w:r w:rsidRPr="37A8DC5D" w:rsidR="013E93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finding consensus on recommendations</w:t>
      </w:r>
    </w:p>
    <w:p w:rsidR="094B728F" w:rsidP="37A8DC5D" w:rsidRDefault="094B728F" w14:paraId="5CAFC514" w14:textId="59FEC450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A8DC5D" w:rsidR="094B72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2Life Communities </w:t>
      </w:r>
      <w:r w:rsidRPr="37A8DC5D" w:rsidR="177394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Presentation</w:t>
      </w:r>
    </w:p>
    <w:p w:rsidR="094B728F" w:rsidP="0CFA1C7C" w:rsidRDefault="094B728F" w14:paraId="7CB825C5" w14:textId="272C02F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FA1C7C" w:rsidR="094B72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Amy Schechtman</w:t>
      </w:r>
      <w:r w:rsidRPr="0CFA1C7C" w:rsidR="0381F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Saul and Gitta </w:t>
      </w:r>
      <w:r w:rsidRPr="0CFA1C7C" w:rsidR="0381F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Kurlat</w:t>
      </w:r>
      <w:r w:rsidRPr="0CFA1C7C" w:rsidR="0381F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Chief Executive Officer</w:t>
      </w:r>
    </w:p>
    <w:p w:rsidR="094B728F" w:rsidP="0CFA1C7C" w:rsidRDefault="094B728F" w14:paraId="0EBA74B5" w14:textId="23E0A8A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094B72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Denise McQu</w:t>
      </w:r>
      <w:r w:rsidRPr="37A8DC5D" w:rsidR="78CBB9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aide – Strategic Advisor</w:t>
      </w:r>
    </w:p>
    <w:p w:rsidR="0CFA1C7C" w:rsidP="37A8DC5D" w:rsidRDefault="0CFA1C7C" w14:paraId="6A6D89AA" w14:textId="1BE55BA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609771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Denise and Amy </w:t>
      </w:r>
      <w:r w:rsidRPr="37A8DC5D" w:rsidR="568033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gave a</w:t>
      </w:r>
      <w:r w:rsidRPr="37A8DC5D" w:rsidR="609771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A8DC5D" w:rsidR="568033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presentation on 2Life Communities’ new </w:t>
      </w:r>
      <w:r w:rsidRPr="37A8DC5D" w:rsidR="294CA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Opus Communities, a new </w:t>
      </w:r>
      <w:r w:rsidRPr="37A8DC5D" w:rsidR="0E4D09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senior living development for middle-</w:t>
      </w:r>
      <w:r w:rsidRPr="37A8DC5D" w:rsidR="1D6C5D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income older adults.  2Life Communities specializes in affordable housing sites for old</w:t>
      </w:r>
      <w:r w:rsidRPr="37A8DC5D" w:rsidR="71FCFD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 adults and conducted extensive research to develop the Opus m</w:t>
      </w:r>
      <w:r w:rsidRPr="37A8DC5D" w:rsidR="2A2C3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odel. Amy and Denise shared that there are </w:t>
      </w:r>
      <w:r w:rsidRPr="37A8DC5D" w:rsidR="2A2C3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 many</w:t>
      </w:r>
      <w:r w:rsidRPr="37A8DC5D" w:rsidR="2A2C3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options for middle-income older adults to age in place</w:t>
      </w:r>
      <w:r w:rsidRPr="37A8DC5D" w:rsidR="4ECE30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While many have significant home equity but have modest post-retirement incomes.</w:t>
      </w:r>
    </w:p>
    <w:p w:rsidR="0CFA1C7C" w:rsidP="37A8DC5D" w:rsidRDefault="0CFA1C7C" w14:paraId="5A2B493A" w14:textId="6915F99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287418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Denise and Amy described how the entrance fees for Opus were designed to pay off construction debt and keep mortgages low. Goal is to keep entr</w:t>
      </w:r>
      <w:r w:rsidRPr="37A8DC5D" w:rsidR="5CF940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ance fees around 30% of a resident’s home value and keep </w:t>
      </w:r>
      <w:r w:rsidRPr="37A8DC5D" w:rsidR="204DFD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monthly fees low.  Monthly fees will cover housing, some meals, </w:t>
      </w:r>
      <w:r w:rsidRPr="37A8DC5D" w:rsidR="204DFD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activities</w:t>
      </w:r>
      <w:r w:rsidRPr="37A8DC5D" w:rsidR="204DFD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care coordination, etc.</w:t>
      </w:r>
      <w:r w:rsidRPr="37A8DC5D" w:rsidR="345E09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Home care company onsite and offered as needed in increments of 30 minutes.</w:t>
      </w:r>
    </w:p>
    <w:p w:rsidR="0CFA1C7C" w:rsidP="37A8DC5D" w:rsidRDefault="0CFA1C7C" w14:paraId="1E6CA5ED" w14:textId="2697D77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345E09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Denise and Amy described Opus as a home care model with a social day program for residents with memory loss, preventative health care (wellness nurse, fitness activities) </w:t>
      </w:r>
      <w:r w:rsidRPr="37A8DC5D" w:rsidR="3DD18F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an on-site medical practice that accepts all payers. The Opus model also relies on </w:t>
      </w:r>
      <w:r w:rsidRPr="37A8DC5D" w:rsidR="444A06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volunteerism with residents asked to dedicate at least 10 hours per month to help the community. </w:t>
      </w:r>
      <w:r w:rsidRPr="37A8DC5D" w:rsidR="5AC2A8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Residents of Opus will have access to the amenities of the adjacent JCC campus and </w:t>
      </w:r>
      <w:r w:rsidRPr="37A8DC5D" w:rsidR="4A378E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will be able to elect a resident council to provide regular input to </w:t>
      </w:r>
      <w:r w:rsidRPr="37A8DC5D" w:rsidR="6C812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2Life.</w:t>
      </w:r>
    </w:p>
    <w:p w:rsidR="0CFA1C7C" w:rsidP="37A8DC5D" w:rsidRDefault="0CFA1C7C" w14:paraId="7D1699E7" w14:textId="6FACB01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6C8122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Commission member Valerie Frias asked if Opus has a partnership with the local ASAP or is contracting with a private company to provide</w:t>
      </w:r>
      <w:r w:rsidRPr="37A8DC5D" w:rsidR="2C2BD9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home care</w:t>
      </w:r>
    </w:p>
    <w:p w:rsidR="0CFA1C7C" w:rsidP="37A8DC5D" w:rsidRDefault="0CFA1C7C" w14:paraId="21A02206" w14:textId="5AFEFDE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2C2BD9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Denise and Amy responded that the adjacent Coleman House, affordable housing site, contracts with Springwell</w:t>
      </w:r>
      <w:r w:rsidRPr="37A8DC5D" w:rsidR="66B7D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Opus contracts a private home care company because they agreed to provide care in increments of 30 minutes to keep costs low. The home care company also contracts with Springwell</w:t>
      </w:r>
    </w:p>
    <w:p w:rsidR="0CFA1C7C" w:rsidP="37A8DC5D" w:rsidRDefault="0CFA1C7C" w14:paraId="32E21C56" w14:textId="76C974F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52A9F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Commission member Christine Griffin </w:t>
      </w:r>
      <w:r w:rsidRPr="37A8DC5D" w:rsidR="39ECFC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asked several questions </w:t>
      </w:r>
      <w:r w:rsidRPr="37A8DC5D" w:rsidR="2261EE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about the number of units in Opus (174), does the home care company provide home health (no)</w:t>
      </w:r>
      <w:r w:rsidRPr="37A8DC5D" w:rsidR="76B38B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does the home care company accept LTC insurance (yes), how much are the entrance fees ($300,000-900,000) and monthly fees ($1,800-4,100)</w:t>
      </w:r>
      <w:r w:rsidRPr="37A8DC5D" w:rsidR="068F38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0CFA1C7C" w:rsidP="37A8DC5D" w:rsidRDefault="0CFA1C7C" w14:paraId="72A030C5" w14:textId="3C05561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068F38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Chritine also asked if there were any 40B </w:t>
      </w:r>
      <w:r w:rsidRPr="37A8DC5D" w:rsidR="54A35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set asides</w:t>
      </w:r>
      <w:r w:rsidRPr="37A8DC5D" w:rsidR="068F38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Opus</w:t>
      </w:r>
      <w:r w:rsidRPr="37A8DC5D" w:rsidR="77E874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Denise and Amy responded that there are 9 units </w:t>
      </w:r>
      <w:r w:rsidRPr="37A8DC5D" w:rsidR="09A8A6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 Newton linkage units that do not have an entrance fee and feature reduce rents</w:t>
      </w:r>
      <w:r w:rsidRPr="37A8DC5D" w:rsidR="45FBC8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Another 7 units will have full monthly fees but only 50% of entrance fees. </w:t>
      </w:r>
    </w:p>
    <w:p w:rsidR="0CFA1C7C" w:rsidP="37A8DC5D" w:rsidRDefault="0CFA1C7C" w14:paraId="09A1D446" w14:textId="7129415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45FBC8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Christine also asked about what meals ar</w:t>
      </w:r>
      <w:r w:rsidRPr="37A8DC5D" w:rsidR="240801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 covered. Denise and Amy responded the Opus </w:t>
      </w:r>
      <w:r w:rsidRPr="37A8DC5D" w:rsidR="3BF3C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features a declining balance of meals. Residents receive a certain amount ($400) for meals that they can </w:t>
      </w:r>
      <w:r w:rsidRPr="37A8DC5D" w:rsidR="3BF3C5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spend </w:t>
      </w:r>
      <w:r w:rsidRPr="37A8DC5D" w:rsidR="73EF7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37A8DC5D" w:rsidR="73EF7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what meals they like</w:t>
      </w:r>
    </w:p>
    <w:p w:rsidR="0CFA1C7C" w:rsidP="37A8DC5D" w:rsidRDefault="0CFA1C7C" w14:paraId="49CE90EF" w14:textId="228C420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3EF7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Christine expressed her </w:t>
      </w:r>
      <w:r w:rsidRPr="37A8DC5D" w:rsidR="555050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disappointment</w:t>
      </w:r>
      <w:r w:rsidRPr="37A8DC5D" w:rsidR="73EF74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there are no residents on the board and claimed that Opus is not the most</w:t>
      </w:r>
      <w:r w:rsidRPr="37A8DC5D" w:rsidR="798E4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affordable CCRC</w:t>
      </w:r>
    </w:p>
    <w:p w:rsidR="0CFA1C7C" w:rsidP="37A8DC5D" w:rsidRDefault="0CFA1C7C" w14:paraId="060BC17F" w14:textId="2BE2A26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98E4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Amy and Denise responded that they are </w:t>
      </w:r>
      <w:r w:rsidRPr="37A8DC5D" w:rsidR="1F80A9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seeing</w:t>
      </w:r>
      <w:r w:rsidRPr="37A8DC5D" w:rsidR="798E4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high demand for Opus </w:t>
      </w:r>
      <w:r w:rsidRPr="37A8DC5D" w:rsidR="38B64C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(169 are on the waitlist)</w:t>
      </w:r>
      <w:r w:rsidRPr="37A8DC5D" w:rsidR="0787DA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that Opus is very affordable for i</w:t>
      </w:r>
      <w:r w:rsidRPr="37A8DC5D" w:rsidR="4455B2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ts </w:t>
      </w:r>
      <w:r w:rsidRPr="37A8DC5D" w:rsidR="0787DA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location (Newton) </w:t>
      </w:r>
    </w:p>
    <w:p w:rsidR="0CFA1C7C" w:rsidP="54C67FD2" w:rsidRDefault="0CFA1C7C" w14:paraId="600E94CE" w14:textId="6CB5D07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C67FD2" w:rsidR="2CC238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Christine asked what happens when some</w:t>
      </w:r>
      <w:r w:rsidRPr="54C67FD2" w:rsidR="5EEB4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one</w:t>
      </w:r>
      <w:r w:rsidRPr="54C67FD2" w:rsidR="2CC238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 higher level of care</w:t>
      </w:r>
      <w:r w:rsidRPr="54C67FD2" w:rsidR="7E4186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CFA1C7C" w:rsidP="37A8DC5D" w:rsidRDefault="0CFA1C7C" w14:paraId="606960A7" w14:textId="757A538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E4186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Denise responded that she is a former VNA administrator, former nursing home administrator. Residents who </w:t>
      </w:r>
      <w:r w:rsidRPr="37A8DC5D" w:rsidR="7B8A99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qualify for Medicaid will have access to those </w:t>
      </w:r>
      <w:r w:rsidRPr="37A8DC5D" w:rsidR="15BA6A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services. There are also </w:t>
      </w:r>
      <w:r w:rsidRPr="37A8DC5D" w:rsidR="15BA6A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37A8DC5D" w:rsidR="15BA6A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programs (</w:t>
      </w:r>
      <w:r w:rsidRPr="37A8DC5D" w:rsidR="15BA6A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i.e.</w:t>
      </w:r>
      <w:r w:rsidRPr="37A8DC5D" w:rsidR="15BA6A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hospital to home) </w:t>
      </w:r>
      <w:r w:rsidRPr="37A8DC5D" w:rsidR="25D6F2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help residents stay in their homes.</w:t>
      </w:r>
      <w:r w:rsidRPr="37A8DC5D" w:rsidR="65D623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2life used an actuary to predict costs.</w:t>
      </w:r>
    </w:p>
    <w:p w:rsidR="0CFA1C7C" w:rsidP="37A8DC5D" w:rsidRDefault="0CFA1C7C" w14:paraId="4ABEDC75" w14:textId="5877C81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82E8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Commission member Jim Freehling highlighted the innovative approach 2Life is taking with Opus, it is trying to meet the growing demand for </w:t>
      </w:r>
      <w:r w:rsidRPr="37A8DC5D" w:rsidR="06A0DC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senior living</w:t>
      </w:r>
      <w:r w:rsidRPr="37A8DC5D" w:rsidR="773EE4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Senior living is evolving, more older adults want to age in place and there ar</w:t>
      </w:r>
      <w:r w:rsidRPr="37A8DC5D" w:rsidR="6B74F7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 programs (Hospital to Home, Hospital in the Home) </w:t>
      </w:r>
      <w:r w:rsidRPr="37A8DC5D" w:rsidR="6F30E9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help them do that. Jim encouraged the commission to promote this innov</w:t>
      </w:r>
      <w:r w:rsidRPr="37A8DC5D" w:rsidR="0FBEA2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ation and rei</w:t>
      </w:r>
      <w:r w:rsidRPr="37A8DC5D" w:rsidR="417350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terated his concerns with attaching timelines to entrance fee returns.</w:t>
      </w:r>
    </w:p>
    <w:p w:rsidR="0CFA1C7C" w:rsidP="37A8DC5D" w:rsidRDefault="0CFA1C7C" w14:paraId="76E9183A" w14:textId="634D5E9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417350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Commission member Secretary Robin Lipson </w:t>
      </w:r>
      <w:r w:rsidRPr="37A8DC5D" w:rsidR="3AF0AB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highlighted the changes demographics in MA, aging population is </w:t>
      </w:r>
      <w:r w:rsidRPr="37A8DC5D" w:rsidR="0C8A79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growing and</w:t>
      </w:r>
      <w:r w:rsidRPr="37A8DC5D" w:rsidR="3AF0AB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suggested that MA needs as much flexibility and innovation </w:t>
      </w:r>
      <w:r w:rsidRPr="37A8DC5D" w:rsidR="716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possible to encourage more housing development for older adults.</w:t>
      </w:r>
    </w:p>
    <w:p w:rsidR="0CFA1C7C" w:rsidP="37A8DC5D" w:rsidRDefault="0CFA1C7C" w14:paraId="2104D893" w14:textId="43F8F12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16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Commission </w:t>
      </w:r>
      <w:r w:rsidRPr="37A8DC5D" w:rsidR="55FB94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member </w:t>
      </w:r>
      <w:r w:rsidRPr="37A8DC5D" w:rsidR="71697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John Ford asked Denise/Amy about </w:t>
      </w:r>
      <w:r w:rsidRPr="37A8DC5D" w:rsidR="237B97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Opus </w:t>
      </w:r>
      <w:r w:rsidRPr="37A8DC5D" w:rsidR="106959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residents'</w:t>
      </w:r>
      <w:r w:rsidRPr="37A8DC5D" w:rsidR="237B97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eligibility for Medicaid</w:t>
      </w:r>
    </w:p>
    <w:p w:rsidR="0CFA1C7C" w:rsidP="37A8DC5D" w:rsidRDefault="0CFA1C7C" w14:paraId="34D4585D" w14:textId="23F6088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237B97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Denise/Amy</w:t>
      </w:r>
      <w:r w:rsidRPr="37A8DC5D" w:rsidR="275F3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responded that if a resident meets the asset and income </w:t>
      </w:r>
      <w:r w:rsidRPr="37A8DC5D" w:rsidR="6416AC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requirements, they would be eligible for </w:t>
      </w:r>
      <w:r w:rsidRPr="37A8DC5D" w:rsidR="533F6E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Medicaid</w:t>
      </w:r>
      <w:r w:rsidRPr="37A8DC5D" w:rsidR="6416AC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receive services in their home. Claimed </w:t>
      </w:r>
      <w:r w:rsidRPr="37A8DC5D" w:rsidR="694425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many nursing units in CCRCs do not accept Medicaid.</w:t>
      </w:r>
    </w:p>
    <w:p w:rsidR="0CFA1C7C" w:rsidP="37A8DC5D" w:rsidRDefault="0CFA1C7C" w14:paraId="7103290F" w14:textId="1446805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694425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Commission member Tara Gregorio agreed with Sec. Lipson’s</w:t>
      </w:r>
      <w:r w:rsidRPr="37A8DC5D" w:rsidR="1DB9E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points on innovation and the definition of CCRCs</w:t>
      </w:r>
      <w:r w:rsidRPr="37A8DC5D" w:rsidR="4747E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would like to see more data </w:t>
      </w:r>
      <w:r w:rsidRPr="37A8DC5D" w:rsidR="32AE3F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promote transparency and accountability</w:t>
      </w:r>
    </w:p>
    <w:p w:rsidR="0CFA1C7C" w:rsidP="37A8DC5D" w:rsidRDefault="0CFA1C7C" w14:paraId="23157CB9" w14:textId="2027ED3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512CE6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Professor Katherine Pearson (Penn State) </w:t>
      </w:r>
      <w:r w:rsidRPr="37A8DC5D" w:rsidR="7E7445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who studies</w:t>
      </w:r>
      <w:r w:rsidRPr="37A8DC5D" w:rsidR="6B0CA7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A8DC5D" w:rsidR="7E7445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CCRCs and was attending the meeting asked Amy/Denise about the value of</w:t>
      </w:r>
      <w:r w:rsidRPr="37A8DC5D" w:rsidR="572165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Opus</w:t>
      </w:r>
      <w:r w:rsidRPr="37A8DC5D" w:rsidR="7E7445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A8DC5D" w:rsidR="7E7445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being recognized </w:t>
      </w:r>
      <w:r w:rsidRPr="37A8DC5D" w:rsidR="316DB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a CCRC in MGL</w:t>
      </w:r>
    </w:p>
    <w:p w:rsidR="0CFA1C7C" w:rsidP="37A8DC5D" w:rsidRDefault="0CFA1C7C" w14:paraId="25495898" w14:textId="3EB202A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316DB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Denise/Amy responded </w:t>
      </w:r>
      <w:r w:rsidRPr="37A8DC5D" w:rsidR="59F3E7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that they </w:t>
      </w:r>
      <w:r w:rsidRPr="37A8DC5D" w:rsidR="5F70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saw </w:t>
      </w:r>
      <w:r w:rsidRPr="37A8DC5D" w:rsidR="5F70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 value</w:t>
      </w:r>
      <w:r w:rsidRPr="37A8DC5D" w:rsidR="5F709E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having Opus being recognized as a CCRC, allows them to charge an entrance </w:t>
      </w:r>
      <w:r w:rsidRPr="37A8DC5D" w:rsidR="52BC69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fee</w:t>
      </w:r>
    </w:p>
    <w:p w:rsidR="0CFA1C7C" w:rsidP="37A8DC5D" w:rsidRDefault="0CFA1C7C" w14:paraId="54D42890" w14:textId="708D41D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4AB6A0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Discussion - Potential Recommendations</w:t>
      </w:r>
    </w:p>
    <w:p w:rsidR="0CFA1C7C" w:rsidP="37A8DC5D" w:rsidRDefault="0CFA1C7C" w14:paraId="5F30CCD5" w14:textId="2A72753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4AB6A0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Question #1 – Should the Commission endorse S.478 - An Act </w:t>
      </w:r>
      <w:r w:rsidRPr="37A8DC5D" w:rsidR="4AB6A0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relative</w:t>
      </w:r>
      <w:r w:rsidRPr="37A8DC5D" w:rsidR="4AB6A0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</w:t>
      </w:r>
      <w:r w:rsidRPr="37A8DC5D" w:rsidR="4AB6A0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disclosing</w:t>
      </w:r>
      <w:r w:rsidRPr="37A8DC5D" w:rsidR="4AB6A0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continuing care retirement community entrance fees?</w:t>
      </w:r>
    </w:p>
    <w:p w:rsidR="0CFA1C7C" w:rsidP="37A8DC5D" w:rsidRDefault="0CFA1C7C" w14:paraId="3316B10F" w14:textId="4FA79A6E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4AB6A0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Jim Free</w:t>
      </w:r>
      <w:r w:rsidRPr="37A8DC5D" w:rsidR="1A8F77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</w:t>
      </w:r>
      <w:r w:rsidRPr="37A8DC5D" w:rsidR="4AB6A0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ling says LeadingAge MA support this legislation</w:t>
      </w:r>
    </w:p>
    <w:p w:rsidR="0CFA1C7C" w:rsidP="37A8DC5D" w:rsidRDefault="0CFA1C7C" w14:paraId="679140AD" w14:textId="5DDC6337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4AB6A0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</w:t>
      </w:r>
      <w:r w:rsidRPr="37A8DC5D" w:rsidR="78EB14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ristine Griffin supports the bill but wants a timeline for entrance fee refunds</w:t>
      </w:r>
    </w:p>
    <w:p w:rsidR="0CFA1C7C" w:rsidP="37A8DC5D" w:rsidRDefault="0CFA1C7C" w14:paraId="616A309A" w14:textId="4B0F07F6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8EB14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Commission member Jean Stringham </w:t>
      </w:r>
      <w:r w:rsidRPr="37A8DC5D" w:rsidR="2F61E3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37A8DC5D" w:rsidR="78EB14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MCLRA supports the bill, no costs associated with the bill</w:t>
      </w:r>
    </w:p>
    <w:p w:rsidR="0CFA1C7C" w:rsidP="37A8DC5D" w:rsidRDefault="0CFA1C7C" w14:paraId="16033F21" w14:textId="041B496E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2539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Commissioner member John Ford supports the bill, important for consumers to know what they are getting</w:t>
      </w:r>
    </w:p>
    <w:p w:rsidR="0CFA1C7C" w:rsidP="37A8DC5D" w:rsidRDefault="0CFA1C7C" w14:paraId="6AC4EBBC" w14:textId="05C36FD2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2539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Sen. </w:t>
      </w:r>
      <w:r w:rsidRPr="37A8DC5D" w:rsidR="72539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Jehlen</w:t>
      </w:r>
      <w:r w:rsidRPr="37A8DC5D" w:rsidR="72539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proposes to use the bill as a base and add other recommendations that require legislative approval</w:t>
      </w:r>
    </w:p>
    <w:p w:rsidR="0CFA1C7C" w:rsidP="37A8DC5D" w:rsidRDefault="0CFA1C7C" w14:paraId="19B45764" w14:textId="4B4C8344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2539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Tara Gregorio supports using the bill a vehicle to </w:t>
      </w:r>
      <w:r w:rsidRPr="37A8DC5D" w:rsidR="5820B5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other recommendations</w:t>
      </w:r>
    </w:p>
    <w:p w:rsidR="0CFA1C7C" w:rsidP="37A8DC5D" w:rsidRDefault="0CFA1C7C" w14:paraId="2263108F" w14:textId="2700137E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5820B5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Question #2 – Entrance Fee Refunds</w:t>
      </w:r>
    </w:p>
    <w:p w:rsidR="0CFA1C7C" w:rsidP="37A8DC5D" w:rsidRDefault="0CFA1C7C" w14:paraId="34E39F3D" w14:textId="6A9C7D08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46B104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John Ford supports a deadline/timeline for </w:t>
      </w:r>
      <w:r w:rsidRPr="37A8DC5D" w:rsidR="1CD866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entrance fee refunds and argues it should not be a problem if there is a long waiting list. Suggested a </w:t>
      </w:r>
      <w:r w:rsidRPr="37A8DC5D" w:rsidR="7D3B84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wavier for CCRCs if there is a refund they </w:t>
      </w:r>
      <w:r w:rsidRPr="37A8DC5D" w:rsidR="7D3B84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can’t</w:t>
      </w:r>
      <w:r w:rsidRPr="37A8DC5D" w:rsidR="7D3B84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return a refund </w:t>
      </w:r>
      <w:r w:rsidRPr="37A8DC5D" w:rsidR="7D3B84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w:rsidR="0CFA1C7C" w:rsidP="37A8DC5D" w:rsidRDefault="0CFA1C7C" w14:paraId="5885E2E6" w14:textId="499DABE7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D3B84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Jim Freeling opposes a 1-year deadline, citing harm to current </w:t>
      </w:r>
      <w:r w:rsidRPr="37A8DC5D" w:rsidR="7D3B84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residents</w:t>
      </w:r>
    </w:p>
    <w:p w:rsidR="0CFA1C7C" w:rsidP="37A8DC5D" w:rsidRDefault="0CFA1C7C" w14:paraId="33446507" w14:textId="5C14F326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D3B84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Christine Griffin mentions that no state to her knowledge has a timeline fo</w:t>
      </w:r>
      <w:r w:rsidRPr="37A8DC5D" w:rsidR="04AE06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 CCRCs </w:t>
      </w:r>
      <w:r w:rsidRPr="37A8DC5D" w:rsidR="0E8497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finds it hard to believe that requiring a 1-year deadline is a problem</w:t>
      </w:r>
    </w:p>
    <w:p w:rsidR="0CFA1C7C" w:rsidP="37A8DC5D" w:rsidRDefault="0CFA1C7C" w14:paraId="3E07D22F" w14:textId="22FD1074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0E8497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Commission member Matthew Hollingshead supports entrance fee refund timelines being left to communities</w:t>
      </w:r>
      <w:r w:rsidRPr="37A8DC5D" w:rsidR="0F9885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it depends on their financial situation. Supports upfront disc</w:t>
      </w:r>
      <w:r w:rsidRPr="37A8DC5D" w:rsidR="727272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losure of entrance fee refunds but argues that requiring timelines </w:t>
      </w:r>
      <w:r w:rsidRPr="37A8DC5D" w:rsidR="4B19CB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would make it harder to develop more CCRCs</w:t>
      </w:r>
    </w:p>
    <w:p w:rsidR="0CFA1C7C" w:rsidP="37A8DC5D" w:rsidRDefault="0CFA1C7C" w14:paraId="2C63F6AE" w14:textId="6C0D91A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3B1FC3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Commissioner Dave VanArsdale </w:t>
      </w:r>
      <w:r w:rsidRPr="37A8DC5D" w:rsidR="3B1FC3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brought up</w:t>
      </w:r>
      <w:r w:rsidRPr="37A8DC5D" w:rsidR="3B1FC3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testimony </w:t>
      </w:r>
      <w:r w:rsidRPr="37A8DC5D" w:rsidR="5A883A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received after the Commission’s public hearing describing a situation that a resident/family had to wait multiple years </w:t>
      </w:r>
      <w:r w:rsidRPr="37A8DC5D" w:rsidR="17263F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receive refund and asked how the commission should address situations like these.</w:t>
      </w:r>
    </w:p>
    <w:p w:rsidR="0CFA1C7C" w:rsidP="37A8DC5D" w:rsidRDefault="0CFA1C7C" w14:paraId="4F67972A" w14:textId="41A70E63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17263F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Jim Freeling </w:t>
      </w:r>
      <w:r w:rsidRPr="37A8DC5D" w:rsidR="1F90FF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responded that there were </w:t>
      </w:r>
      <w:r w:rsidRPr="37A8DC5D" w:rsidR="67AA70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</w:t>
      </w:r>
      <w:r w:rsidRPr="37A8DC5D" w:rsidR="1F90FF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difficulties during </w:t>
      </w:r>
      <w:r w:rsidRPr="37A8DC5D" w:rsidR="780094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great recession and pandemic with returning </w:t>
      </w:r>
      <w:r w:rsidRPr="37A8DC5D" w:rsidR="597D7C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entrance fees </w:t>
      </w:r>
      <w:r w:rsidRPr="37A8DC5D" w:rsidR="597D7C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  <w:r w:rsidRPr="37A8DC5D" w:rsidR="597D7C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agreed with Matthew that timelines would discourage development of new CCRCs</w:t>
      </w:r>
    </w:p>
    <w:p w:rsidR="0CFA1C7C" w:rsidP="37A8DC5D" w:rsidRDefault="0CFA1C7C" w14:paraId="3913772A" w14:textId="24A2D1B4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605515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Tara Gregorio </w:t>
      </w:r>
      <w:r w:rsidRPr="37A8DC5D" w:rsidR="7E4A83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added that CCRCs are one of the best models for aging in place, supports the status quo for entrance fees </w:t>
      </w:r>
      <w:r w:rsidRPr="37A8DC5D" w:rsidR="6AB26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 </w:t>
      </w:r>
      <w:r w:rsidRPr="37A8DC5D" w:rsidR="6AB26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37A8DC5D" w:rsidR="6AB26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uniform reporting requirements</w:t>
      </w:r>
    </w:p>
    <w:p w:rsidR="0CFA1C7C" w:rsidP="37A8DC5D" w:rsidRDefault="0CFA1C7C" w14:paraId="1C6925D4" w14:textId="5084708F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6AB26E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John Ford argued that there was no answer to Dave VanArsdale</w:t>
      </w:r>
      <w:r w:rsidRPr="37A8DC5D" w:rsidR="5DD424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’s question about residents/families having to wait years for entrance fee to be refunded and reiterated his sup</w:t>
      </w:r>
      <w:r w:rsidRPr="37A8DC5D" w:rsidR="25B8BD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port for a deadline with a waiver.</w:t>
      </w:r>
    </w:p>
    <w:p w:rsidR="44FBD127" w:rsidP="37A8DC5D" w:rsidRDefault="44FBD127" w14:paraId="3D968FB7" w14:textId="63E65A4E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44FBD1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Sec. Lipson brought up the</w:t>
      </w:r>
      <w:r w:rsidRPr="37A8DC5D" w:rsidR="6DC11D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balance between consumer protection and financials of CCRCs and </w:t>
      </w:r>
      <w:r w:rsidRPr="37A8DC5D" w:rsidR="67290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financials,</w:t>
      </w:r>
      <w:r w:rsidRPr="37A8DC5D" w:rsidR="014FE4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entrance fee refund</w:t>
      </w:r>
      <w:r w:rsidRPr="37A8DC5D" w:rsidR="67290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timelines do impose a risk that would </w:t>
      </w:r>
      <w:r w:rsidRPr="37A8DC5D" w:rsidR="67290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likely increase</w:t>
      </w:r>
      <w:r w:rsidRPr="37A8DC5D" w:rsidR="672907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monthly fees</w:t>
      </w:r>
      <w:r w:rsidRPr="37A8DC5D" w:rsidR="064110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impact current </w:t>
      </w:r>
      <w:r w:rsidRPr="37A8DC5D" w:rsidR="17A96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residents. Described her experience working on the LTSS Feasi</w:t>
      </w: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bility Study and how even </w:t>
      </w: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small changes</w:t>
      </w: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can </w:t>
      </w: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</w:t>
      </w: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costs</w:t>
      </w:r>
    </w:p>
    <w:p w:rsidR="7E60BE1B" w:rsidP="37A8DC5D" w:rsidRDefault="7E60BE1B" w14:paraId="758EF808" w14:textId="53A7B957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Jim Freehling brought up that the NJ MCLRA group opposed an entrance fee refund measure </w:t>
      </w: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because</w:t>
      </w: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 would negatively </w:t>
      </w: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</w:t>
      </w: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current residents</w:t>
      </w:r>
    </w:p>
    <w:p w:rsidR="7E60BE1B" w:rsidP="37A8DC5D" w:rsidRDefault="7E60BE1B" w14:paraId="055B6B42" w14:textId="2384EF1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E60BE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Christine Griffin offered that if the commission cannot agree on entrance fee refunds, </w:t>
      </w:r>
      <w:r w:rsidRPr="37A8DC5D" w:rsidR="6364FB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commission should recommend keeping the status quo with add</w:t>
      </w:r>
      <w:r w:rsidRPr="37A8DC5D" w:rsidR="26189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 data collection and come back and revisit issue</w:t>
      </w:r>
    </w:p>
    <w:p w:rsidR="26189CEC" w:rsidP="37A8DC5D" w:rsidRDefault="26189CEC" w14:paraId="1A6954A3" w14:textId="5C07FBC0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26189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Jean Stringham agreed with Tara Gregorio’s idea on uniform data collection</w:t>
      </w:r>
    </w:p>
    <w:p w:rsidR="26189CEC" w:rsidP="37A8DC5D" w:rsidRDefault="26189CEC" w14:paraId="441E4D72" w14:textId="65B9BF05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26189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Commissioner Jessica Constantino asked if we have disclosure requirements, why are residents still </w:t>
      </w:r>
      <w:r w:rsidRPr="37A8DC5D" w:rsidR="285B18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getting refunds back in </w:t>
      </w:r>
      <w:r w:rsidRPr="37A8DC5D" w:rsidR="285B18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timely</w:t>
      </w:r>
      <w:r w:rsidRPr="37A8DC5D" w:rsidR="285B18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fashion.</w:t>
      </w:r>
    </w:p>
    <w:p w:rsidR="285B18C7" w:rsidP="37A8DC5D" w:rsidRDefault="285B18C7" w14:paraId="31B6984B" w14:textId="3926C31C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285B18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Sen. </w:t>
      </w:r>
      <w:r w:rsidRPr="37A8DC5D" w:rsidR="285B18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Jehlen</w:t>
      </w:r>
      <w:r w:rsidRPr="37A8DC5D" w:rsidR="285B18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A8DC5D" w:rsidR="191924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said that the commission</w:t>
      </w:r>
      <w:r w:rsidRPr="37A8DC5D" w:rsidR="285B18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should be getting data on entrance fees and </w:t>
      </w:r>
      <w:r w:rsidRPr="37A8DC5D" w:rsidR="33B39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brought up the issue of less desirable unit</w:t>
      </w:r>
    </w:p>
    <w:p w:rsidR="33B391D8" w:rsidP="37A8DC5D" w:rsidRDefault="33B391D8" w14:paraId="0D11A031" w14:textId="00C8BA7D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33B391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Matthew Hollingshead responded that monthly service fees cover meals, maintenance, etc.  and entrance fees help pay down debt</w:t>
      </w:r>
    </w:p>
    <w:p w:rsidR="29F5AA0B" w:rsidP="37A8DC5D" w:rsidRDefault="29F5AA0B" w14:paraId="4DA0B00F" w14:textId="7648B12D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29F5AA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Question #3 - Definition of CCRCs and Marketing</w:t>
      </w:r>
    </w:p>
    <w:p w:rsidR="29F5AA0B" w:rsidP="37A8DC5D" w:rsidRDefault="29F5AA0B" w14:paraId="421C6019" w14:textId="5572A05F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29F5A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Jean Stringham brought up Washington State example of CCRCs </w:t>
      </w:r>
      <w:r w:rsidRPr="37A8DC5D" w:rsidR="29F5A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required</w:t>
      </w:r>
      <w:r w:rsidRPr="37A8DC5D" w:rsidR="29F5A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</w:t>
      </w:r>
      <w:r w:rsidRPr="37A8DC5D" w:rsidR="29F5A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</w:t>
      </w:r>
      <w:r w:rsidRPr="37A8DC5D" w:rsidR="29F5AA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data </w:t>
      </w:r>
      <w:r w:rsidRPr="37A8DC5D" w:rsidR="7E5092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would like AGE to be more proactive on CCRC information</w:t>
      </w:r>
    </w:p>
    <w:p w:rsidR="7E50925E" w:rsidP="37A8DC5D" w:rsidRDefault="7E50925E" w14:paraId="50D84BB2" w14:textId="4351BC9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E5092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Sec. Lipson agreed on the importance of consumer protection</w:t>
      </w:r>
      <w:r w:rsidRPr="37A8DC5D" w:rsidR="36E3E1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but unsure if CCRCs need to be certified, brought up that AGE is not an expert in housing finance</w:t>
      </w:r>
      <w:r w:rsidRPr="37A8DC5D" w:rsidR="227E72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difficult to </w:t>
      </w:r>
      <w:r w:rsidRPr="37A8DC5D" w:rsidR="227E72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37A8DC5D" w:rsidR="227E72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financial suitability. </w:t>
      </w:r>
      <w:r w:rsidRPr="37A8DC5D" w:rsidR="038462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Citing the current hiring freeze and federal funding challenges, </w:t>
      </w:r>
      <w:r w:rsidRPr="37A8DC5D" w:rsidR="227E72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AGE does not have the staff to handle certification</w:t>
      </w:r>
      <w:r w:rsidRPr="37A8DC5D" w:rsidR="4E0EE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E0EE25A" w:rsidP="37A8DC5D" w:rsidRDefault="4E0EE25A" w14:paraId="4A7CF8E9" w14:textId="1D14BB05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4E0EE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Jim Freehling agreed that CCRCs is a complex industry, very few experts in CCRC financials. Supports updating the AGE consumer guide</w:t>
      </w:r>
    </w:p>
    <w:p w:rsidR="7EF0F04D" w:rsidP="37A8DC5D" w:rsidRDefault="7EF0F04D" w14:paraId="32AAC4B9" w14:textId="013362CA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EF0F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Christine Griffin asked what </w:t>
      </w:r>
      <w:r w:rsidRPr="37A8DC5D" w:rsidR="7EF0F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definition of a CCRC in MGL is</w:t>
      </w:r>
      <w:r w:rsidRPr="37A8DC5D" w:rsidR="7EF0F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where can we find it</w:t>
      </w:r>
    </w:p>
    <w:p w:rsidR="7EF0F04D" w:rsidP="37A8DC5D" w:rsidRDefault="7EF0F04D" w14:paraId="778C0E55" w14:textId="3F78CF59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7EF0F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Jim Freehling responded that the definition is under MGL Chapter 93, Section 76 and commented that it is a broad definition</w:t>
      </w:r>
    </w:p>
    <w:p w:rsidR="3C793094" w:rsidP="37A8DC5D" w:rsidRDefault="3C793094" w14:paraId="072371D5" w14:textId="5D247A93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3C7930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Christine Griffin argued that the definition is too broad and that she </w:t>
      </w:r>
      <w:r w:rsidRPr="37A8DC5D" w:rsidR="3C7930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doesn’t</w:t>
      </w:r>
      <w:r w:rsidRPr="37A8DC5D" w:rsidR="3C7930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consider it </w:t>
      </w:r>
      <w:r w:rsidRPr="37A8DC5D" w:rsidR="3C7930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viable</w:t>
      </w:r>
      <w:r w:rsidRPr="37A8DC5D" w:rsidR="3C7930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definition</w:t>
      </w:r>
    </w:p>
    <w:p w:rsidR="3C793094" w:rsidP="37A8DC5D" w:rsidRDefault="3C793094" w14:paraId="7B9EEF9D" w14:textId="0DBE0596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3C7930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Jean Stringham commented that </w:t>
      </w:r>
      <w:r w:rsidRPr="37A8DC5D" w:rsidR="04DDA7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that Elissa Sherman (LeadingAge MA) provided </w:t>
      </w:r>
      <w:r w:rsidRPr="37A8DC5D" w:rsidR="3BEE16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definition of a CCRC during her presentation and asked if this was the legal definition</w:t>
      </w:r>
    </w:p>
    <w:p w:rsidR="3BEE16F2" w:rsidP="37A8DC5D" w:rsidRDefault="3BEE16F2" w14:paraId="091D98DF" w14:textId="3529E68E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3BEE16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John Ford argued that the definition is too vague, should clarify if long-term care is offered on campus or off campus</w:t>
      </w:r>
    </w:p>
    <w:p w:rsidR="06C9C72F" w:rsidP="37A8DC5D" w:rsidRDefault="06C9C72F" w14:paraId="61AB7199" w14:textId="62D9942C">
      <w:pPr>
        <w:pStyle w:val="Normal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A8DC5D" w:rsidR="06C9C7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Question #4 – Should the CCRC Commission recommend changes to the CCRC Consumer Guide </w:t>
      </w:r>
      <w:r w:rsidRPr="37A8DC5D" w:rsidR="06C9C7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37A8DC5D" w:rsidR="06C9C72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AGE?</w:t>
      </w:r>
    </w:p>
    <w:p w:rsidR="62D34E40" w:rsidP="37A8DC5D" w:rsidRDefault="62D34E40" w14:paraId="1708003E" w14:textId="2A3684D2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7A8DC5D" w:rsidR="62D34E40">
        <w:rPr>
          <w:rFonts w:ascii="Calibri" w:hAnsi="Calibri" w:eastAsia="Calibri" w:cs="Calibri"/>
          <w:noProof w:val="0"/>
          <w:sz w:val="22"/>
          <w:szCs w:val="22"/>
          <w:lang w:val="en-US"/>
        </w:rPr>
        <w:t>John Ford recommended California’s CCRC Consumer Guide</w:t>
      </w:r>
      <w:r w:rsidRPr="37A8DC5D" w:rsidR="255B7D59">
        <w:rPr>
          <w:rFonts w:ascii="Calibri" w:hAnsi="Calibri" w:eastAsia="Calibri" w:cs="Calibri"/>
          <w:noProof w:val="0"/>
          <w:sz w:val="22"/>
          <w:szCs w:val="22"/>
          <w:lang w:val="en-US"/>
        </w:rPr>
        <w:t>, it provides extensive information including regulations in place (including financial health of CCRCs)</w:t>
      </w:r>
    </w:p>
    <w:p w:rsidR="7864ECA0" w:rsidP="37A8DC5D" w:rsidRDefault="7864ECA0" w14:paraId="6F4E89DA" w14:textId="5D756229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7A8DC5D" w:rsidR="7864ECA0">
        <w:rPr>
          <w:rFonts w:ascii="Calibri" w:hAnsi="Calibri" w:eastAsia="Calibri" w:cs="Calibri"/>
          <w:noProof w:val="0"/>
          <w:sz w:val="22"/>
          <w:szCs w:val="22"/>
          <w:lang w:val="en-US"/>
        </w:rPr>
        <w:t>Jim Freehling agreed that the MA CCRC Consumer Guide should be updated and improved</w:t>
      </w:r>
    </w:p>
    <w:p w:rsidR="7864ECA0" w:rsidP="37A8DC5D" w:rsidRDefault="7864ECA0" w14:paraId="3D86861F" w14:textId="27E411A0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7A8DC5D" w:rsidR="7864ECA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Sec. Lipson said AGE can make sure the guide is up-to-date and include FAQs on questions </w:t>
      </w:r>
      <w:r w:rsidRPr="37A8DC5D" w:rsidR="5CA214B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they </w:t>
      </w:r>
      <w:r w:rsidRPr="37A8DC5D" w:rsidR="5CA214B3">
        <w:rPr>
          <w:rFonts w:ascii="Calibri" w:hAnsi="Calibri" w:eastAsia="Calibri" w:cs="Calibri"/>
          <w:noProof w:val="0"/>
          <w:sz w:val="22"/>
          <w:szCs w:val="22"/>
          <w:lang w:val="en-US"/>
        </w:rPr>
        <w:t>anticipate</w:t>
      </w:r>
      <w:r w:rsidRPr="37A8DC5D" w:rsidR="5CA214B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consumers will ask. She warned that anything more complex than this would require </w:t>
      </w:r>
      <w:r w:rsidRPr="37A8DC5D" w:rsidR="5CA214B3">
        <w:rPr>
          <w:rFonts w:ascii="Calibri" w:hAnsi="Calibri" w:eastAsia="Calibri" w:cs="Calibri"/>
          <w:noProof w:val="0"/>
          <w:sz w:val="22"/>
          <w:szCs w:val="22"/>
          <w:lang w:val="en-US"/>
        </w:rPr>
        <w:t>additional</w:t>
      </w:r>
      <w:r w:rsidRPr="37A8DC5D" w:rsidR="5CA214B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staff and resources and that AGE does not have the </w:t>
      </w:r>
      <w:r w:rsidRPr="37A8DC5D" w:rsidR="5CA214B3">
        <w:rPr>
          <w:rFonts w:ascii="Calibri" w:hAnsi="Calibri" w:eastAsia="Calibri" w:cs="Calibri"/>
          <w:noProof w:val="0"/>
          <w:sz w:val="22"/>
          <w:szCs w:val="22"/>
          <w:lang w:val="en-US"/>
        </w:rPr>
        <w:t>capacity</w:t>
      </w:r>
      <w:r w:rsidRPr="37A8DC5D" w:rsidR="5CA214B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va</w:t>
      </w:r>
      <w:r w:rsidRPr="37A8DC5D" w:rsidR="4AF202E8">
        <w:rPr>
          <w:rFonts w:ascii="Calibri" w:hAnsi="Calibri" w:eastAsia="Calibri" w:cs="Calibri"/>
          <w:noProof w:val="0"/>
          <w:sz w:val="22"/>
          <w:szCs w:val="22"/>
          <w:lang w:val="en-US"/>
        </w:rPr>
        <w:t>lid info CCRCs provide to AGE. Suggested LeadingAge MA can play more of a role in updating the inf</w:t>
      </w:r>
      <w:r w:rsidRPr="37A8DC5D" w:rsidR="6DA6A9B0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</w:p>
    <w:p w:rsidR="6DA6A9B0" w:rsidP="37A8DC5D" w:rsidRDefault="6DA6A9B0" w14:paraId="3775D189" w14:textId="678FA96D">
      <w:pPr>
        <w:pStyle w:val="Normal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7A8DC5D" w:rsidR="6DA6A9B0">
        <w:rPr>
          <w:rFonts w:ascii="Calibri" w:hAnsi="Calibri" w:eastAsia="Calibri" w:cs="Calibri"/>
          <w:noProof w:val="0"/>
          <w:sz w:val="22"/>
          <w:szCs w:val="22"/>
          <w:lang w:val="en-US"/>
        </w:rPr>
        <w:t>Jim Freehling said LeadingAge MA can help with this</w:t>
      </w:r>
    </w:p>
    <w:p w:rsidR="6DA6A9B0" w:rsidP="37A8DC5D" w:rsidRDefault="6DA6A9B0" w14:paraId="480A9656" w14:textId="0F1008AF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6DA6A9B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Question #5 – Should the CCRC Commission recommend changes to resident representation on boards?</w:t>
      </w:r>
    </w:p>
    <w:p w:rsidR="6DA6A9B0" w:rsidP="37A8DC5D" w:rsidRDefault="6DA6A9B0" w14:paraId="499D477D" w14:textId="70939E9E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6DA6A9B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Christine Griffin shared her support for a resident voting member on non-profit boards</w:t>
      </w:r>
      <w:r w:rsidRPr="37A8DC5D" w:rsidR="56D0308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, arguing that while having the board meet with resident groups is im</w:t>
      </w:r>
      <w:r w:rsidRPr="37A8DC5D" w:rsidR="673E1F6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portant, the decision-making </w:t>
      </w:r>
      <w:r w:rsidRPr="37A8DC5D" w:rsidR="6A95D5D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that affects the lives of residents </w:t>
      </w:r>
      <w:r w:rsidRPr="37A8DC5D" w:rsidR="673E1F6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happens on the </w:t>
      </w:r>
      <w:r w:rsidRPr="37A8DC5D" w:rsidR="673E1F6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board level</w:t>
      </w:r>
      <w:r w:rsidRPr="37A8DC5D" w:rsidR="617D82A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. Asked if other states </w:t>
      </w:r>
      <w:r w:rsidRPr="37A8DC5D" w:rsidR="617D82A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require</w:t>
      </w:r>
      <w:r w:rsidRPr="37A8DC5D" w:rsidR="617D82A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residents on the non-profit boards</w:t>
      </w:r>
      <w:r w:rsidRPr="37A8DC5D" w:rsidR="63BF60D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.</w:t>
      </w:r>
    </w:p>
    <w:p w:rsidR="63BF60DF" w:rsidP="37A8DC5D" w:rsidRDefault="63BF60DF" w14:paraId="326F9B7D" w14:textId="77BD925F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63BF60D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Jim Freehling said that communication with resident associations is important, ensuring that a CCRC has a strong resident association that gathers everyone’s o</w:t>
      </w:r>
      <w:r w:rsidRPr="37A8DC5D" w:rsidR="0DB99CE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pinion and communicates with the board is important</w:t>
      </w:r>
    </w:p>
    <w:p w:rsidR="0DB99CE7" w:rsidP="37A8DC5D" w:rsidRDefault="0DB99CE7" w14:paraId="57A79340" w14:textId="220E5AAD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0DB99CE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Christine Griffin responded that having a strong resident association and a resident on the board is needed</w:t>
      </w:r>
    </w:p>
    <w:p w:rsidR="0DB99CE7" w:rsidP="37A8DC5D" w:rsidRDefault="0DB99CE7" w14:paraId="4921D009" w14:textId="67144E76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0DB99CE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Dave VanArsdale recalled his experiences living in two communities, 1 with a resident member on the board and the other without one. Claimed that the community with the resident membe</w:t>
      </w:r>
      <w:r w:rsidRPr="37A8DC5D" w:rsidR="40EF13D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r was better managed and that the resident member became the president of the board</w:t>
      </w:r>
    </w:p>
    <w:p w:rsidR="40EF13D5" w:rsidP="37A8DC5D" w:rsidRDefault="40EF13D5" w14:paraId="555A7E02" w14:textId="7149AB63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40EF13D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Jean Stringham opposed the idea of requiring boards to meet with resident associations at least 4 times a year, arguing that was too much. Opposed the idea of requiring a non-voting resident board member.</w:t>
      </w:r>
    </w:p>
    <w:p w:rsidR="674884BA" w:rsidP="37A8DC5D" w:rsidRDefault="674884BA" w14:paraId="4C5E9BD3" w14:textId="68BEEB5C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674884B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Jim Freehling </w:t>
      </w:r>
      <w:r w:rsidRPr="37A8DC5D" w:rsidR="674884B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stated</w:t>
      </w:r>
      <w:r w:rsidRPr="37A8DC5D" w:rsidR="674884B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that LeadingAge MA does not oppose have a resident on the board, but it should be left up to </w:t>
      </w:r>
      <w:r w:rsidRPr="37A8DC5D" w:rsidR="2661FCE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individual communities. Argued that resident board members do not </w:t>
      </w:r>
      <w:r w:rsidRPr="37A8DC5D" w:rsidR="2661FCE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represent</w:t>
      </w:r>
      <w:r w:rsidRPr="37A8DC5D" w:rsidR="2661FCE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the </w:t>
      </w:r>
      <w:r w:rsidRPr="37A8DC5D" w:rsidR="0DFE229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residents, they must act in the best interest of the CCRC. Residents on the non-profit boards are often chosen based on their experience and how they can use those skills to advance the interest of t</w:t>
      </w:r>
      <w:r w:rsidRPr="37A8DC5D" w:rsidR="20BA298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he CCRC.</w:t>
      </w:r>
    </w:p>
    <w:p w:rsidR="20BA2982" w:rsidP="37A8DC5D" w:rsidRDefault="20BA2982" w14:paraId="5EA31A25" w14:textId="0DE94085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20BA298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Work Plan</w:t>
      </w:r>
    </w:p>
    <w:p w:rsidR="20BA2982" w:rsidP="37A8DC5D" w:rsidRDefault="20BA2982" w14:paraId="4C13AEDF" w14:textId="71FE00D0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20BA298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Julianna Fernandez thanked all the commission members for a thoughtful </w:t>
      </w:r>
      <w:r w:rsidRPr="37A8DC5D" w:rsidR="4F7AC76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discussion before outlining the work ahead for the Commission. She asked all members to </w:t>
      </w:r>
      <w:r w:rsidRPr="37A8DC5D" w:rsidR="4F7AC76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submit</w:t>
      </w:r>
      <w:r w:rsidRPr="37A8DC5D" w:rsidR="4F7AC76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their comments in writing by Friday (7/11) and that </w:t>
      </w:r>
      <w:r w:rsidRPr="37A8DC5D" w:rsidR="55C4401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the goal is to get a draft of the final report to members by Friday (7/18). The Chairs are also looking to schedule a</w:t>
      </w:r>
      <w:r w:rsidRPr="37A8DC5D" w:rsidR="09C67B6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n </w:t>
      </w:r>
      <w:r w:rsidRPr="37A8DC5D" w:rsidR="09C67B6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additional</w:t>
      </w:r>
      <w:r w:rsidRPr="37A8DC5D" w:rsidR="78571A2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37A8DC5D" w:rsidR="55C4401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meeting on Monday (7/21)</w:t>
      </w:r>
      <w:r w:rsidRPr="37A8DC5D" w:rsidR="44077CB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37A8DC5D" w:rsidR="5854262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to discuss the final report</w:t>
      </w:r>
      <w:r w:rsidRPr="37A8DC5D" w:rsidR="37D8571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.</w:t>
      </w:r>
    </w:p>
    <w:p w:rsidR="37D85713" w:rsidP="37A8DC5D" w:rsidRDefault="37D85713" w14:paraId="6A62DBDB" w14:textId="57B9F5DC">
      <w:pPr>
        <w:pStyle w:val="Normal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r w:rsidRPr="37A8DC5D" w:rsidR="37D8571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Several commission members opposed having the next meeting on 7/21, arguing it gave them little time to review the report. Julianna said she would discuss with the Chairs and circle back with everyone.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Q6kU8zM" int2:invalidationBookmarkName="" int2:hashCode="SQUo823r98Fc6l" int2:id="jjmibV6T">
      <int2:state int2:type="spell" int2:value="Rejected"/>
    </int2:bookmark>
    <int2:bookmark int2:bookmarkName="_Int_YwZZ19N1" int2:invalidationBookmarkName="" int2:hashCode="gdVFy5y4rM9sD2" int2:id="4Pe4Bhm5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dd68f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98B252"/>
    <w:rsid w:val="002E44B7"/>
    <w:rsid w:val="00E0EA4B"/>
    <w:rsid w:val="00E532A5"/>
    <w:rsid w:val="013E9327"/>
    <w:rsid w:val="014CC36D"/>
    <w:rsid w:val="014FE4F1"/>
    <w:rsid w:val="0151AFCE"/>
    <w:rsid w:val="01A96BEF"/>
    <w:rsid w:val="01AE92F2"/>
    <w:rsid w:val="01FC2328"/>
    <w:rsid w:val="025C975E"/>
    <w:rsid w:val="029D8DE9"/>
    <w:rsid w:val="02AA1D54"/>
    <w:rsid w:val="02B0C7D6"/>
    <w:rsid w:val="0317F3F3"/>
    <w:rsid w:val="031F5132"/>
    <w:rsid w:val="0381F0E9"/>
    <w:rsid w:val="03846225"/>
    <w:rsid w:val="041188BB"/>
    <w:rsid w:val="0435217C"/>
    <w:rsid w:val="043DE299"/>
    <w:rsid w:val="0444B4B6"/>
    <w:rsid w:val="045C7FFD"/>
    <w:rsid w:val="04AE0698"/>
    <w:rsid w:val="04DDA7B4"/>
    <w:rsid w:val="052E1D34"/>
    <w:rsid w:val="054AC2F4"/>
    <w:rsid w:val="0576C8D3"/>
    <w:rsid w:val="05BA47A5"/>
    <w:rsid w:val="05C9DBCD"/>
    <w:rsid w:val="05D19D33"/>
    <w:rsid w:val="05DF3805"/>
    <w:rsid w:val="06213D00"/>
    <w:rsid w:val="0641103F"/>
    <w:rsid w:val="068F3879"/>
    <w:rsid w:val="06A0DCED"/>
    <w:rsid w:val="06BFCCD7"/>
    <w:rsid w:val="06C9C72F"/>
    <w:rsid w:val="071DE7BB"/>
    <w:rsid w:val="072B16A2"/>
    <w:rsid w:val="077B24BC"/>
    <w:rsid w:val="0787DA71"/>
    <w:rsid w:val="083ACD55"/>
    <w:rsid w:val="090C262E"/>
    <w:rsid w:val="0926AA9B"/>
    <w:rsid w:val="092811D5"/>
    <w:rsid w:val="094B728F"/>
    <w:rsid w:val="09A8A69C"/>
    <w:rsid w:val="09C67B6C"/>
    <w:rsid w:val="09D91E24"/>
    <w:rsid w:val="0A2F1CE0"/>
    <w:rsid w:val="0B7DDD0B"/>
    <w:rsid w:val="0C23EFFA"/>
    <w:rsid w:val="0C56DC87"/>
    <w:rsid w:val="0C8A79D5"/>
    <w:rsid w:val="0CA4CB93"/>
    <w:rsid w:val="0CD12D42"/>
    <w:rsid w:val="0CFA1C7C"/>
    <w:rsid w:val="0D7DA660"/>
    <w:rsid w:val="0DA43A41"/>
    <w:rsid w:val="0DB99CE7"/>
    <w:rsid w:val="0DFE2294"/>
    <w:rsid w:val="0E315641"/>
    <w:rsid w:val="0E4D0943"/>
    <w:rsid w:val="0E553277"/>
    <w:rsid w:val="0E849715"/>
    <w:rsid w:val="0E8EB3AD"/>
    <w:rsid w:val="0F7B4C2C"/>
    <w:rsid w:val="0F988593"/>
    <w:rsid w:val="0FB0F9CB"/>
    <w:rsid w:val="0FBEA262"/>
    <w:rsid w:val="1064A242"/>
    <w:rsid w:val="106597D7"/>
    <w:rsid w:val="106959B2"/>
    <w:rsid w:val="10F376BF"/>
    <w:rsid w:val="114503C8"/>
    <w:rsid w:val="11DEA5C4"/>
    <w:rsid w:val="13044BAB"/>
    <w:rsid w:val="13327BED"/>
    <w:rsid w:val="13462312"/>
    <w:rsid w:val="135225B4"/>
    <w:rsid w:val="13CB8EFD"/>
    <w:rsid w:val="145BFB88"/>
    <w:rsid w:val="1466BA3A"/>
    <w:rsid w:val="15A0A04B"/>
    <w:rsid w:val="15BA2A63"/>
    <w:rsid w:val="15BA6AD2"/>
    <w:rsid w:val="15D7C951"/>
    <w:rsid w:val="1651A237"/>
    <w:rsid w:val="16AC2A1D"/>
    <w:rsid w:val="16C5AAFA"/>
    <w:rsid w:val="16CD109A"/>
    <w:rsid w:val="16D84636"/>
    <w:rsid w:val="171453B4"/>
    <w:rsid w:val="17263F68"/>
    <w:rsid w:val="17564C0A"/>
    <w:rsid w:val="1773948C"/>
    <w:rsid w:val="17A9604B"/>
    <w:rsid w:val="17CF9907"/>
    <w:rsid w:val="18407039"/>
    <w:rsid w:val="18460FB0"/>
    <w:rsid w:val="187674EA"/>
    <w:rsid w:val="18F43C7A"/>
    <w:rsid w:val="191924DC"/>
    <w:rsid w:val="1922352F"/>
    <w:rsid w:val="19ACA1B3"/>
    <w:rsid w:val="1A8C32E4"/>
    <w:rsid w:val="1A8F7757"/>
    <w:rsid w:val="1AB1A295"/>
    <w:rsid w:val="1AF00D88"/>
    <w:rsid w:val="1BA77C21"/>
    <w:rsid w:val="1BFED0CA"/>
    <w:rsid w:val="1C04338E"/>
    <w:rsid w:val="1CAFFE89"/>
    <w:rsid w:val="1CD86696"/>
    <w:rsid w:val="1CFC29FD"/>
    <w:rsid w:val="1D29DA5A"/>
    <w:rsid w:val="1D3F48ED"/>
    <w:rsid w:val="1D6C5DCB"/>
    <w:rsid w:val="1D7780B8"/>
    <w:rsid w:val="1DB6951F"/>
    <w:rsid w:val="1DB9E958"/>
    <w:rsid w:val="1DEABCBA"/>
    <w:rsid w:val="1E94F005"/>
    <w:rsid w:val="1F100C75"/>
    <w:rsid w:val="1F22F5A5"/>
    <w:rsid w:val="1F298B1D"/>
    <w:rsid w:val="1F2F5B48"/>
    <w:rsid w:val="1F5BD9B5"/>
    <w:rsid w:val="1F630DDE"/>
    <w:rsid w:val="1F80A9C9"/>
    <w:rsid w:val="1F855EB6"/>
    <w:rsid w:val="1F90FFEB"/>
    <w:rsid w:val="1FAC6679"/>
    <w:rsid w:val="1FC95C34"/>
    <w:rsid w:val="2009B07F"/>
    <w:rsid w:val="204DFD4F"/>
    <w:rsid w:val="2069E1BC"/>
    <w:rsid w:val="20B9BE62"/>
    <w:rsid w:val="20BA2982"/>
    <w:rsid w:val="2150C245"/>
    <w:rsid w:val="21CB934E"/>
    <w:rsid w:val="21E18AF5"/>
    <w:rsid w:val="21EA181D"/>
    <w:rsid w:val="22075EDE"/>
    <w:rsid w:val="2261EE4A"/>
    <w:rsid w:val="227E72E2"/>
    <w:rsid w:val="22AA369D"/>
    <w:rsid w:val="2345FA2B"/>
    <w:rsid w:val="237B9729"/>
    <w:rsid w:val="23B062AB"/>
    <w:rsid w:val="24080110"/>
    <w:rsid w:val="243B7FD6"/>
    <w:rsid w:val="243CD848"/>
    <w:rsid w:val="24659176"/>
    <w:rsid w:val="249CAC7F"/>
    <w:rsid w:val="255B7D59"/>
    <w:rsid w:val="255E3D2A"/>
    <w:rsid w:val="25743E0E"/>
    <w:rsid w:val="25B8BD1B"/>
    <w:rsid w:val="25D6F2D3"/>
    <w:rsid w:val="26189CEC"/>
    <w:rsid w:val="2656EBF2"/>
    <w:rsid w:val="265B6625"/>
    <w:rsid w:val="2661FCE5"/>
    <w:rsid w:val="2698B252"/>
    <w:rsid w:val="26AB6DE8"/>
    <w:rsid w:val="2739CE2A"/>
    <w:rsid w:val="2759C74D"/>
    <w:rsid w:val="275CE27E"/>
    <w:rsid w:val="275F33AE"/>
    <w:rsid w:val="2792AA9C"/>
    <w:rsid w:val="27D588F0"/>
    <w:rsid w:val="2840C1C3"/>
    <w:rsid w:val="285B18C7"/>
    <w:rsid w:val="2874183D"/>
    <w:rsid w:val="28DFB50C"/>
    <w:rsid w:val="294CADD1"/>
    <w:rsid w:val="29528ABA"/>
    <w:rsid w:val="29A2CD8E"/>
    <w:rsid w:val="29F5AA0B"/>
    <w:rsid w:val="2A2C3537"/>
    <w:rsid w:val="2A5A67EC"/>
    <w:rsid w:val="2A9B801F"/>
    <w:rsid w:val="2B23A002"/>
    <w:rsid w:val="2B7B47F0"/>
    <w:rsid w:val="2BB86802"/>
    <w:rsid w:val="2BE7AD46"/>
    <w:rsid w:val="2BED88CE"/>
    <w:rsid w:val="2C2BD969"/>
    <w:rsid w:val="2C80F1E1"/>
    <w:rsid w:val="2CA65D97"/>
    <w:rsid w:val="2CA67C11"/>
    <w:rsid w:val="2CC238DD"/>
    <w:rsid w:val="2D04EE0A"/>
    <w:rsid w:val="2D2BBE93"/>
    <w:rsid w:val="2D51F562"/>
    <w:rsid w:val="2D5B16F6"/>
    <w:rsid w:val="2D659E67"/>
    <w:rsid w:val="2DA3A7E4"/>
    <w:rsid w:val="2E1C2C52"/>
    <w:rsid w:val="2E5A8B8D"/>
    <w:rsid w:val="2EC2835A"/>
    <w:rsid w:val="2F062449"/>
    <w:rsid w:val="2F59969B"/>
    <w:rsid w:val="2F61E38F"/>
    <w:rsid w:val="30033C1F"/>
    <w:rsid w:val="30138E9F"/>
    <w:rsid w:val="302BBE99"/>
    <w:rsid w:val="3034B28C"/>
    <w:rsid w:val="303E5813"/>
    <w:rsid w:val="3059ECAB"/>
    <w:rsid w:val="30FEB1A1"/>
    <w:rsid w:val="310C2635"/>
    <w:rsid w:val="316DBBE8"/>
    <w:rsid w:val="32235BA8"/>
    <w:rsid w:val="322E7058"/>
    <w:rsid w:val="328B80E6"/>
    <w:rsid w:val="32AE3F35"/>
    <w:rsid w:val="32B71111"/>
    <w:rsid w:val="32CECFBE"/>
    <w:rsid w:val="3330EE6F"/>
    <w:rsid w:val="33AEB15C"/>
    <w:rsid w:val="33B391D8"/>
    <w:rsid w:val="33D1D6FE"/>
    <w:rsid w:val="344AAC2B"/>
    <w:rsid w:val="345E09EC"/>
    <w:rsid w:val="34E61C5E"/>
    <w:rsid w:val="36171CEF"/>
    <w:rsid w:val="365BB1D5"/>
    <w:rsid w:val="368219E2"/>
    <w:rsid w:val="36BA6E7D"/>
    <w:rsid w:val="36E3E148"/>
    <w:rsid w:val="37360E35"/>
    <w:rsid w:val="3741E8C4"/>
    <w:rsid w:val="37A8DC5D"/>
    <w:rsid w:val="37D85713"/>
    <w:rsid w:val="37E2BEF8"/>
    <w:rsid w:val="37E3756F"/>
    <w:rsid w:val="381DE664"/>
    <w:rsid w:val="38B64C63"/>
    <w:rsid w:val="38BEB4D9"/>
    <w:rsid w:val="391849E0"/>
    <w:rsid w:val="391E2689"/>
    <w:rsid w:val="39537FF8"/>
    <w:rsid w:val="39ECFCB1"/>
    <w:rsid w:val="3A3AC462"/>
    <w:rsid w:val="3A69AA38"/>
    <w:rsid w:val="3A6C8107"/>
    <w:rsid w:val="3A9BFA61"/>
    <w:rsid w:val="3ACF3B28"/>
    <w:rsid w:val="3AF0ABFC"/>
    <w:rsid w:val="3B1FC3D2"/>
    <w:rsid w:val="3B2DE77A"/>
    <w:rsid w:val="3B36277E"/>
    <w:rsid w:val="3B4D69E2"/>
    <w:rsid w:val="3B71F60F"/>
    <w:rsid w:val="3B98E36A"/>
    <w:rsid w:val="3BEE16F2"/>
    <w:rsid w:val="3BF3C5C6"/>
    <w:rsid w:val="3C2CE785"/>
    <w:rsid w:val="3C793094"/>
    <w:rsid w:val="3C8C921C"/>
    <w:rsid w:val="3CE47D80"/>
    <w:rsid w:val="3D29B43E"/>
    <w:rsid w:val="3DA6C144"/>
    <w:rsid w:val="3DBB6823"/>
    <w:rsid w:val="3DD18FA4"/>
    <w:rsid w:val="3E5EE415"/>
    <w:rsid w:val="3E7C61AE"/>
    <w:rsid w:val="3E7E1841"/>
    <w:rsid w:val="3EDD7384"/>
    <w:rsid w:val="3F7CAE63"/>
    <w:rsid w:val="3FBB8E4A"/>
    <w:rsid w:val="3FFBE58D"/>
    <w:rsid w:val="4065169E"/>
    <w:rsid w:val="40DD685C"/>
    <w:rsid w:val="40EF13D5"/>
    <w:rsid w:val="416EF3DF"/>
    <w:rsid w:val="4173500F"/>
    <w:rsid w:val="418D86CC"/>
    <w:rsid w:val="418DF7A0"/>
    <w:rsid w:val="41A92521"/>
    <w:rsid w:val="41BB1015"/>
    <w:rsid w:val="424F067B"/>
    <w:rsid w:val="4268842C"/>
    <w:rsid w:val="42D1C6A0"/>
    <w:rsid w:val="44077CB2"/>
    <w:rsid w:val="444A06BD"/>
    <w:rsid w:val="4455B2CE"/>
    <w:rsid w:val="44AD9354"/>
    <w:rsid w:val="44FB7D88"/>
    <w:rsid w:val="44FBD127"/>
    <w:rsid w:val="458E3CD1"/>
    <w:rsid w:val="45B43B83"/>
    <w:rsid w:val="45C20286"/>
    <w:rsid w:val="45F565BF"/>
    <w:rsid w:val="45FBC8F6"/>
    <w:rsid w:val="46130914"/>
    <w:rsid w:val="4632E4BE"/>
    <w:rsid w:val="4645C950"/>
    <w:rsid w:val="46B1044C"/>
    <w:rsid w:val="46FD2C63"/>
    <w:rsid w:val="474763DE"/>
    <w:rsid w:val="4747E188"/>
    <w:rsid w:val="4788C472"/>
    <w:rsid w:val="47C686D7"/>
    <w:rsid w:val="48C1FDAA"/>
    <w:rsid w:val="49175BF4"/>
    <w:rsid w:val="4985BFBB"/>
    <w:rsid w:val="49AAD91F"/>
    <w:rsid w:val="49D09B62"/>
    <w:rsid w:val="4A37838C"/>
    <w:rsid w:val="4A378E6E"/>
    <w:rsid w:val="4A958D4D"/>
    <w:rsid w:val="4AB3D98E"/>
    <w:rsid w:val="4AB6A0A4"/>
    <w:rsid w:val="4AF202E8"/>
    <w:rsid w:val="4B0FE2AF"/>
    <w:rsid w:val="4B19CB31"/>
    <w:rsid w:val="4B538932"/>
    <w:rsid w:val="4B78251D"/>
    <w:rsid w:val="4BBD5DEB"/>
    <w:rsid w:val="4BFEC14E"/>
    <w:rsid w:val="4C4E4CDC"/>
    <w:rsid w:val="4C7BE22A"/>
    <w:rsid w:val="4CB1F7C6"/>
    <w:rsid w:val="4CB9100D"/>
    <w:rsid w:val="4D4C4A60"/>
    <w:rsid w:val="4D6A4EB1"/>
    <w:rsid w:val="4DB3F401"/>
    <w:rsid w:val="4DED1CC5"/>
    <w:rsid w:val="4E0383B2"/>
    <w:rsid w:val="4E0EE25A"/>
    <w:rsid w:val="4E189720"/>
    <w:rsid w:val="4E37D9E0"/>
    <w:rsid w:val="4E3B8A1A"/>
    <w:rsid w:val="4E41D1B6"/>
    <w:rsid w:val="4E7DAD45"/>
    <w:rsid w:val="4EADCD22"/>
    <w:rsid w:val="4EBAADC8"/>
    <w:rsid w:val="4ECE30FF"/>
    <w:rsid w:val="4EDAAA45"/>
    <w:rsid w:val="4EE9889F"/>
    <w:rsid w:val="4F2CEBE9"/>
    <w:rsid w:val="4F4493BB"/>
    <w:rsid w:val="4F7AC76C"/>
    <w:rsid w:val="5012E31B"/>
    <w:rsid w:val="50C9F7FB"/>
    <w:rsid w:val="512CE64B"/>
    <w:rsid w:val="51C8413B"/>
    <w:rsid w:val="5278B5EF"/>
    <w:rsid w:val="52A2CD2B"/>
    <w:rsid w:val="52A9FD28"/>
    <w:rsid w:val="52BC69EF"/>
    <w:rsid w:val="533F6E3A"/>
    <w:rsid w:val="534F288E"/>
    <w:rsid w:val="53A44A77"/>
    <w:rsid w:val="53FA6216"/>
    <w:rsid w:val="5425B66E"/>
    <w:rsid w:val="5449657C"/>
    <w:rsid w:val="54A35248"/>
    <w:rsid w:val="54C67FD2"/>
    <w:rsid w:val="54FC58A9"/>
    <w:rsid w:val="5515C19C"/>
    <w:rsid w:val="55505087"/>
    <w:rsid w:val="55C3C7B8"/>
    <w:rsid w:val="55C44018"/>
    <w:rsid w:val="55FB9491"/>
    <w:rsid w:val="562C6BEB"/>
    <w:rsid w:val="5680333D"/>
    <w:rsid w:val="56AA1C46"/>
    <w:rsid w:val="56D03087"/>
    <w:rsid w:val="56F81217"/>
    <w:rsid w:val="5721656A"/>
    <w:rsid w:val="5820B539"/>
    <w:rsid w:val="58334883"/>
    <w:rsid w:val="58542627"/>
    <w:rsid w:val="586F3A30"/>
    <w:rsid w:val="58CC98AA"/>
    <w:rsid w:val="58F180B3"/>
    <w:rsid w:val="590F62EC"/>
    <w:rsid w:val="591CF4DB"/>
    <w:rsid w:val="5946C862"/>
    <w:rsid w:val="597D7CF3"/>
    <w:rsid w:val="59899A18"/>
    <w:rsid w:val="599AB3F3"/>
    <w:rsid w:val="59CDE551"/>
    <w:rsid w:val="59D60304"/>
    <w:rsid w:val="59E6ECBD"/>
    <w:rsid w:val="59F3E778"/>
    <w:rsid w:val="5A518269"/>
    <w:rsid w:val="5A59374B"/>
    <w:rsid w:val="5A883A5A"/>
    <w:rsid w:val="5AC2A826"/>
    <w:rsid w:val="5AF911F0"/>
    <w:rsid w:val="5B0594EC"/>
    <w:rsid w:val="5B452B13"/>
    <w:rsid w:val="5B52A483"/>
    <w:rsid w:val="5B6F3580"/>
    <w:rsid w:val="5B7BB0FA"/>
    <w:rsid w:val="5BFE44AE"/>
    <w:rsid w:val="5C4419DD"/>
    <w:rsid w:val="5C444479"/>
    <w:rsid w:val="5C97CC79"/>
    <w:rsid w:val="5C9E5558"/>
    <w:rsid w:val="5CA214B3"/>
    <w:rsid w:val="5CF9401C"/>
    <w:rsid w:val="5DD42400"/>
    <w:rsid w:val="5DD7B1E4"/>
    <w:rsid w:val="5E803544"/>
    <w:rsid w:val="5E9979BA"/>
    <w:rsid w:val="5EC52147"/>
    <w:rsid w:val="5ED122CC"/>
    <w:rsid w:val="5EEB4788"/>
    <w:rsid w:val="5F107327"/>
    <w:rsid w:val="5F709E8B"/>
    <w:rsid w:val="5F7C7A6B"/>
    <w:rsid w:val="5FBAF390"/>
    <w:rsid w:val="5FCD38CD"/>
    <w:rsid w:val="600B4BEA"/>
    <w:rsid w:val="605515D5"/>
    <w:rsid w:val="60977131"/>
    <w:rsid w:val="60D3261D"/>
    <w:rsid w:val="60EE47B0"/>
    <w:rsid w:val="6140C57B"/>
    <w:rsid w:val="6161FF8B"/>
    <w:rsid w:val="6175AD1A"/>
    <w:rsid w:val="617D82A9"/>
    <w:rsid w:val="61D494F3"/>
    <w:rsid w:val="61D95007"/>
    <w:rsid w:val="61F86358"/>
    <w:rsid w:val="62199D2E"/>
    <w:rsid w:val="62A336A1"/>
    <w:rsid w:val="62D34E40"/>
    <w:rsid w:val="632A6BAE"/>
    <w:rsid w:val="633AD220"/>
    <w:rsid w:val="635B67D5"/>
    <w:rsid w:val="635E1732"/>
    <w:rsid w:val="6364FBF3"/>
    <w:rsid w:val="63A846BA"/>
    <w:rsid w:val="63AEDD69"/>
    <w:rsid w:val="63B020C4"/>
    <w:rsid w:val="63BF60DF"/>
    <w:rsid w:val="6416AC59"/>
    <w:rsid w:val="6472F986"/>
    <w:rsid w:val="64CBF45B"/>
    <w:rsid w:val="65467FED"/>
    <w:rsid w:val="6547BF9C"/>
    <w:rsid w:val="65600D92"/>
    <w:rsid w:val="65D1EF0A"/>
    <w:rsid w:val="65D6233C"/>
    <w:rsid w:val="667BB912"/>
    <w:rsid w:val="66B7DAA5"/>
    <w:rsid w:val="67068571"/>
    <w:rsid w:val="671A5311"/>
    <w:rsid w:val="67290765"/>
    <w:rsid w:val="6739F9C0"/>
    <w:rsid w:val="673E1F62"/>
    <w:rsid w:val="674884BA"/>
    <w:rsid w:val="6788E607"/>
    <w:rsid w:val="67AA7008"/>
    <w:rsid w:val="67B4AEB0"/>
    <w:rsid w:val="68AAC865"/>
    <w:rsid w:val="68D69C7D"/>
    <w:rsid w:val="69442546"/>
    <w:rsid w:val="69AE94B0"/>
    <w:rsid w:val="69BEC5A2"/>
    <w:rsid w:val="6A5F29AE"/>
    <w:rsid w:val="6A5F3761"/>
    <w:rsid w:val="6A6F66A1"/>
    <w:rsid w:val="6A95D5D4"/>
    <w:rsid w:val="6AB26E6F"/>
    <w:rsid w:val="6AC0E254"/>
    <w:rsid w:val="6B0CA740"/>
    <w:rsid w:val="6B74F7B4"/>
    <w:rsid w:val="6B848AA7"/>
    <w:rsid w:val="6BE89A12"/>
    <w:rsid w:val="6BFD8F45"/>
    <w:rsid w:val="6C6B5EB1"/>
    <w:rsid w:val="6C81229D"/>
    <w:rsid w:val="6CB2FDBD"/>
    <w:rsid w:val="6CBB6229"/>
    <w:rsid w:val="6CE65885"/>
    <w:rsid w:val="6D7983E6"/>
    <w:rsid w:val="6D8D52F1"/>
    <w:rsid w:val="6DA6A9B0"/>
    <w:rsid w:val="6DC11D95"/>
    <w:rsid w:val="6E44283D"/>
    <w:rsid w:val="6E50826B"/>
    <w:rsid w:val="6E5B8F3A"/>
    <w:rsid w:val="6E61D612"/>
    <w:rsid w:val="6ECF0075"/>
    <w:rsid w:val="6F30E9CA"/>
    <w:rsid w:val="6F3334DE"/>
    <w:rsid w:val="6F34764D"/>
    <w:rsid w:val="6F3F91AE"/>
    <w:rsid w:val="6F4F417F"/>
    <w:rsid w:val="6FBA4F87"/>
    <w:rsid w:val="6FF85FFE"/>
    <w:rsid w:val="703897A5"/>
    <w:rsid w:val="704C65FF"/>
    <w:rsid w:val="70BDD0BC"/>
    <w:rsid w:val="71279796"/>
    <w:rsid w:val="7161CA05"/>
    <w:rsid w:val="71697910"/>
    <w:rsid w:val="717F6696"/>
    <w:rsid w:val="7182BC74"/>
    <w:rsid w:val="71FCFD94"/>
    <w:rsid w:val="7249EA05"/>
    <w:rsid w:val="7253977C"/>
    <w:rsid w:val="7272722D"/>
    <w:rsid w:val="7278969C"/>
    <w:rsid w:val="7279957D"/>
    <w:rsid w:val="72A843B2"/>
    <w:rsid w:val="72B49267"/>
    <w:rsid w:val="7324D914"/>
    <w:rsid w:val="73362A0D"/>
    <w:rsid w:val="73DF5B4F"/>
    <w:rsid w:val="73EF7415"/>
    <w:rsid w:val="7403FC77"/>
    <w:rsid w:val="741B3AAB"/>
    <w:rsid w:val="7459AD7A"/>
    <w:rsid w:val="746F51CA"/>
    <w:rsid w:val="74DE4CB2"/>
    <w:rsid w:val="74F006CC"/>
    <w:rsid w:val="750F0D1B"/>
    <w:rsid w:val="75A4DEEB"/>
    <w:rsid w:val="75E47AE6"/>
    <w:rsid w:val="762D5314"/>
    <w:rsid w:val="76B38BAD"/>
    <w:rsid w:val="76BC12DD"/>
    <w:rsid w:val="773EE4B4"/>
    <w:rsid w:val="774A97A6"/>
    <w:rsid w:val="77E87436"/>
    <w:rsid w:val="780094DF"/>
    <w:rsid w:val="782E85A5"/>
    <w:rsid w:val="78571A22"/>
    <w:rsid w:val="7864ECA0"/>
    <w:rsid w:val="787D38F3"/>
    <w:rsid w:val="78CBB929"/>
    <w:rsid w:val="78E1B8D9"/>
    <w:rsid w:val="78EB1414"/>
    <w:rsid w:val="7961F643"/>
    <w:rsid w:val="798E469F"/>
    <w:rsid w:val="79B20E00"/>
    <w:rsid w:val="79ED6C7C"/>
    <w:rsid w:val="7AC778A8"/>
    <w:rsid w:val="7AEC29B8"/>
    <w:rsid w:val="7B7CF7FD"/>
    <w:rsid w:val="7B8A9904"/>
    <w:rsid w:val="7C4C8564"/>
    <w:rsid w:val="7CF14B7F"/>
    <w:rsid w:val="7D263F53"/>
    <w:rsid w:val="7D3B84EA"/>
    <w:rsid w:val="7D40D606"/>
    <w:rsid w:val="7D6881E2"/>
    <w:rsid w:val="7D934288"/>
    <w:rsid w:val="7DCF4008"/>
    <w:rsid w:val="7DD18E1D"/>
    <w:rsid w:val="7DE23638"/>
    <w:rsid w:val="7DF82C56"/>
    <w:rsid w:val="7E365A07"/>
    <w:rsid w:val="7E4186F6"/>
    <w:rsid w:val="7E4A8348"/>
    <w:rsid w:val="7E50925E"/>
    <w:rsid w:val="7E5C938D"/>
    <w:rsid w:val="7E60BE1B"/>
    <w:rsid w:val="7E7445F2"/>
    <w:rsid w:val="7E7A1B68"/>
    <w:rsid w:val="7E7F2809"/>
    <w:rsid w:val="7EBF1FFC"/>
    <w:rsid w:val="7EF0F04D"/>
    <w:rsid w:val="7F53FC50"/>
    <w:rsid w:val="7FA99C12"/>
    <w:rsid w:val="7FB9FC87"/>
    <w:rsid w:val="7FFA9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B252"/>
  <w15:chartTrackingRefBased/>
  <w15:docId w15:val="{2C715B9D-8319-4EE4-9F3E-D07DC3C746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0CFA1C7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5dc6fb0c6b2c4470" /><Relationship Type="http://schemas.microsoft.com/office/2011/relationships/commentsExtended" Target="commentsExtended.xml" Id="R6fe4c80cac30460b" /><Relationship Type="http://schemas.microsoft.com/office/2016/09/relationships/commentsIds" Target="commentsIds.xml" Id="R112f9060022943a4" /><Relationship Type="http://schemas.microsoft.com/office/2020/10/relationships/intelligence" Target="intelligence2.xml" Id="R871038fa9b654eaf" /><Relationship Type="http://schemas.openxmlformats.org/officeDocument/2006/relationships/numbering" Target="numbering.xml" Id="R1b71f23a0e304e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50931B-5192-4EA6-8295-F3E843777636}"/>
</file>

<file path=customXml/itemProps2.xml><?xml version="1.0" encoding="utf-8"?>
<ds:datastoreItem xmlns:ds="http://schemas.openxmlformats.org/officeDocument/2006/customXml" ds:itemID="{B2874B24-20F4-4081-9E13-46EC0D7FDB31}"/>
</file>

<file path=customXml/itemProps3.xml><?xml version="1.0" encoding="utf-8"?>
<ds:datastoreItem xmlns:ds="http://schemas.openxmlformats.org/officeDocument/2006/customXml" ds:itemID="{FED60951-3EF9-4054-A5C4-0584AD4545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Fernandez, Julianna (HOU)</dc:creator>
  <keywords/>
  <dc:description/>
  <lastModifiedBy>Fernandez, Julianna (HOU)</lastModifiedBy>
  <dcterms:created xsi:type="dcterms:W3CDTF">2025-06-23T16:57:46.0000000Z</dcterms:created>
  <dcterms:modified xsi:type="dcterms:W3CDTF">2025-07-17T15:24:18.5453262Z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  <property fmtid="{D5CDD505-2E9C-101B-9397-08002B2CF9AE}" pid="3" name="MediaServiceImageTags">
    <vt:lpwstr/>
  </property>
</Properties>
</file>