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F1688" w:rsidRDefault="009566CD" w14:paraId="11DE7757" w14:textId="77777777">
      <w:pPr>
        <w:jc w:val="center"/>
        <w:rPr>
          <w:rFonts w:ascii="Calibri" w:hAnsi="Calibri" w:cs="Calibri"/>
          <w:b/>
          <w:bCs/>
          <w:sz w:val="32"/>
          <w:szCs w:val="32"/>
        </w:rPr>
      </w:pPr>
      <w:r>
        <w:rPr>
          <w:rFonts w:ascii="Calibri" w:hAnsi="Calibri" w:cs="Calibri"/>
          <w:b/>
          <w:bCs/>
          <w:sz w:val="32"/>
          <w:szCs w:val="32"/>
        </w:rPr>
        <w:t>CCRC Commission Meeting 7.28.25</w:t>
      </w:r>
    </w:p>
    <w:p w:rsidR="002F1688" w:rsidRDefault="009566CD" w14:paraId="11DE7758" w14:textId="77777777">
      <w:pPr>
        <w:spacing w:line="240" w:lineRule="auto"/>
        <w:jc w:val="center"/>
      </w:pPr>
      <w:r>
        <w:rPr>
          <w:rFonts w:ascii="Calibri" w:hAnsi="Calibri" w:cs="Calibri"/>
        </w:rPr>
        <w:t>July 28</w:t>
      </w:r>
      <w:r>
        <w:rPr>
          <w:rFonts w:ascii="Calibri" w:hAnsi="Calibri" w:cs="Calibri"/>
          <w:vertAlign w:val="superscript"/>
        </w:rPr>
        <w:t>th</w:t>
      </w:r>
      <w:r>
        <w:rPr>
          <w:rFonts w:ascii="Calibri" w:hAnsi="Calibri" w:cs="Calibri"/>
        </w:rPr>
        <w:t>, 2025</w:t>
      </w:r>
    </w:p>
    <w:p w:rsidR="002F1688" w:rsidRDefault="009566CD" w14:paraId="11DE7759" w14:textId="77777777">
      <w:pPr>
        <w:spacing w:line="240" w:lineRule="auto"/>
        <w:jc w:val="center"/>
        <w:rPr>
          <w:rFonts w:ascii="Calibri" w:hAnsi="Calibri" w:cs="Calibri"/>
        </w:rPr>
      </w:pPr>
      <w:r>
        <w:rPr>
          <w:rFonts w:ascii="Calibri" w:hAnsi="Calibri" w:cs="Calibri"/>
        </w:rPr>
        <w:t xml:space="preserve">10:00am – 11:40am </w:t>
      </w:r>
    </w:p>
    <w:p w:rsidR="002F1688" w:rsidRDefault="009566CD" w14:paraId="11DE775A" w14:textId="77777777">
      <w:pPr>
        <w:spacing w:line="240" w:lineRule="auto"/>
        <w:jc w:val="center"/>
      </w:pPr>
      <w:r>
        <w:rPr>
          <w:rFonts w:ascii="Calibri" w:hAnsi="Calibri" w:cs="Calibri"/>
          <w:noProof/>
        </w:rPr>
        <mc:AlternateContent>
          <mc:Choice Requires="wps">
            <w:drawing>
              <wp:anchor distT="0" distB="0" distL="114300" distR="114300" simplePos="0" relativeHeight="251659264" behindDoc="0" locked="0" layoutInCell="1" allowOverlap="1" wp14:anchorId="11DE7757" wp14:editId="11DE7758">
                <wp:simplePos x="0" y="0"/>
                <wp:positionH relativeFrom="column">
                  <wp:posOffset>39758</wp:posOffset>
                </wp:positionH>
                <wp:positionV relativeFrom="paragraph">
                  <wp:posOffset>89620</wp:posOffset>
                </wp:positionV>
                <wp:extent cx="6162041" cy="0"/>
                <wp:effectExtent l="0" t="0" r="0" b="0"/>
                <wp:wrapNone/>
                <wp:docPr id="1877795424" name="Straight Connector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19046" cap="flat">
                          <a:solidFill>
                            <a:srgbClr val="156082"/>
                          </a:solidFill>
                          <a:prstDash val="solid"/>
                          <a:miter/>
                        </a:ln>
                      </wps:spPr>
                      <wps:bodyPr/>
                    </wps:wsp>
                  </a:graphicData>
                </a:graphic>
              </wp:anchor>
            </w:drawing>
          </mc:Choice>
          <mc:Fallback>
            <w:pict>
              <v:shapetype id="_x0000_t32" coordsize="21600,21600" o:oned="t" filled="f" o:spt="32" path="m,l21600,21600e" w14:anchorId="45E8723A">
                <v:path fillok="f" arrowok="t" o:connecttype="none"/>
                <o:lock v:ext="edit" shapetype="t"/>
              </v:shapetype>
              <v:shape id="Straight Connector 1" style="position:absolute;margin-left:3.15pt;margin-top:7.05pt;width:485.2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strokeweight=".5290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">
                <v:stroke joinstyle="miter"/>
              </v:shape>
            </w:pict>
          </mc:Fallback>
        </mc:AlternateContent>
      </w:r>
    </w:p>
    <w:p w:rsidR="002F1688" w:rsidRDefault="009566CD" w14:paraId="11DE775B" w14:textId="77777777">
      <w:pPr>
        <w:spacing w:line="240" w:lineRule="auto"/>
      </w:pPr>
      <w:r>
        <w:rPr>
          <w:rFonts w:ascii="Calibri" w:hAnsi="Calibri" w:cs="Calibri"/>
        </w:rPr>
        <w:t>Date of Meeting: July 28</w:t>
      </w:r>
      <w:r>
        <w:rPr>
          <w:rFonts w:ascii="Calibri" w:hAnsi="Calibri" w:cs="Calibri"/>
          <w:vertAlign w:val="superscript"/>
        </w:rPr>
        <w:t>th</w:t>
      </w:r>
      <w:r>
        <w:rPr>
          <w:rFonts w:ascii="Calibri" w:hAnsi="Calibri" w:cs="Calibri"/>
        </w:rPr>
        <w:t>, 2025</w:t>
      </w:r>
    </w:p>
    <w:p w:rsidR="002F1688" w:rsidRDefault="009566CD" w14:paraId="11DE775C" w14:textId="77777777">
      <w:pPr>
        <w:spacing w:line="240" w:lineRule="auto"/>
        <w:rPr>
          <w:rFonts w:ascii="Calibri" w:hAnsi="Calibri" w:cs="Calibri"/>
        </w:rPr>
      </w:pPr>
      <w:r>
        <w:rPr>
          <w:rFonts w:ascii="Calibri" w:hAnsi="Calibri" w:cs="Calibri"/>
        </w:rPr>
        <w:t>Start Time: 10:00 AM</w:t>
      </w:r>
    </w:p>
    <w:p w:rsidR="002F1688" w:rsidRDefault="009566CD" w14:paraId="11DE775D" w14:textId="77777777">
      <w:pPr>
        <w:spacing w:line="240" w:lineRule="auto"/>
        <w:rPr>
          <w:rFonts w:ascii="Calibri" w:hAnsi="Calibri" w:cs="Calibri"/>
        </w:rPr>
      </w:pPr>
      <w:r>
        <w:rPr>
          <w:rFonts w:ascii="Calibri" w:hAnsi="Calibri" w:cs="Calibri"/>
        </w:rPr>
        <w:t>End Time: 12:00 PM</w:t>
      </w:r>
    </w:p>
    <w:p w:rsidR="002F1688" w:rsidRDefault="009566CD" w14:paraId="11DE775E" w14:textId="77777777">
      <w:pPr>
        <w:spacing w:line="240" w:lineRule="auto"/>
        <w:rPr>
          <w:rFonts w:ascii="Calibri" w:hAnsi="Calibri" w:cs="Calibri"/>
        </w:rPr>
      </w:pPr>
      <w:r>
        <w:rPr>
          <w:rFonts w:ascii="Calibri" w:hAnsi="Calibri" w:cs="Calibri"/>
        </w:rPr>
        <w:t>Location: Virtual Meeting (Microsoft Teams)</w:t>
      </w:r>
    </w:p>
    <w:tbl>
      <w:tblPr>
        <w:tblW w:w="9345" w:type="dxa"/>
        <w:tblCellMar>
          <w:left w:w="10" w:type="dxa"/>
          <w:right w:w="10" w:type="dxa"/>
        </w:tblCellMar>
        <w:tblLook w:val="04A0" w:firstRow="1" w:lastRow="0" w:firstColumn="1" w:lastColumn="0" w:noHBand="0" w:noVBand="1"/>
      </w:tblPr>
      <w:tblGrid>
        <w:gridCol w:w="496"/>
        <w:gridCol w:w="7721"/>
        <w:gridCol w:w="1128"/>
      </w:tblGrid>
      <w:tr w:rsidR="002F1688" w:rsidTr="3F32491B" w14:paraId="11DE7761" w14:textId="77777777">
        <w:tblPrEx>
          <w:tblCellMar>
            <w:top w:w="0" w:type="dxa"/>
            <w:bottom w:w="0" w:type="dxa"/>
          </w:tblCellMar>
        </w:tblPrEx>
        <w:trPr>
          <w:trHeight w:val="246"/>
        </w:trPr>
        <w:tc>
          <w:tcPr>
            <w:tcW w:w="821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EEAF6"/>
            <w:tcMar>
              <w:top w:w="0" w:type="dxa"/>
              <w:left w:w="0" w:type="dxa"/>
              <w:bottom w:w="0" w:type="dxa"/>
              <w:right w:w="0" w:type="dxa"/>
            </w:tcMar>
          </w:tcPr>
          <w:p w:rsidR="002F1688" w:rsidRDefault="009566CD" w14:paraId="11DE775F" w14:textId="77777777">
            <w:pPr>
              <w:rPr>
                <w:rFonts w:ascii="Calibri" w:hAnsi="Calibri" w:cs="Calibri"/>
                <w:b/>
                <w:bCs/>
                <w:sz w:val="22"/>
                <w:szCs w:val="22"/>
              </w:rPr>
            </w:pPr>
            <w:r>
              <w:rPr>
                <w:rFonts w:ascii="Calibri" w:hAnsi="Calibri" w:cs="Calibri"/>
                <w:b/>
                <w:bCs/>
                <w:sz w:val="22"/>
                <w:szCs w:val="22"/>
              </w:rPr>
              <w:t>Member Attendance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EEAF6"/>
            <w:tcMar>
              <w:top w:w="0" w:type="dxa"/>
              <w:left w:w="0" w:type="dxa"/>
              <w:bottom w:w="0" w:type="dxa"/>
              <w:right w:w="0" w:type="dxa"/>
            </w:tcMar>
          </w:tcPr>
          <w:p w:rsidR="002F1688" w:rsidRDefault="009566CD" w14:paraId="11DE7760" w14:textId="77777777">
            <w:pPr>
              <w:rPr>
                <w:rFonts w:ascii="Calibri" w:hAnsi="Calibri" w:cs="Calibri"/>
                <w:b/>
                <w:bCs/>
                <w:sz w:val="22"/>
                <w:szCs w:val="22"/>
              </w:rPr>
            </w:pPr>
            <w:r>
              <w:rPr>
                <w:rFonts w:ascii="Calibri" w:hAnsi="Calibri" w:cs="Calibri"/>
                <w:b/>
                <w:bCs/>
                <w:sz w:val="22"/>
                <w:szCs w:val="22"/>
              </w:rPr>
              <w:t>Present </w:t>
            </w:r>
          </w:p>
        </w:tc>
      </w:tr>
      <w:tr w:rsidR="002F1688" w:rsidTr="3F32491B" w14:paraId="11DE7765" w14:textId="77777777">
        <w:tblPrEx>
          <w:tblCellMar>
            <w:top w:w="0" w:type="dxa"/>
            <w:bottom w:w="0" w:type="dxa"/>
          </w:tblCellMar>
        </w:tblPrEx>
        <w:trPr>
          <w:trHeight w:val="363"/>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2" w14:textId="77777777">
            <w:pPr>
              <w:rPr>
                <w:rFonts w:ascii="Calibri" w:hAnsi="Calibri" w:cs="Calibri"/>
                <w:b/>
                <w:bCs/>
                <w:sz w:val="22"/>
                <w:szCs w:val="22"/>
              </w:rPr>
            </w:pPr>
            <w:r>
              <w:rPr>
                <w:rFonts w:ascii="Calibri" w:hAnsi="Calibri" w:cs="Calibri"/>
                <w:b/>
                <w:bCs/>
                <w:sz w:val="22"/>
                <w:szCs w:val="22"/>
              </w:rPr>
              <w:t>1 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3" w14:textId="77777777">
            <w:r>
              <w:rPr>
                <w:rFonts w:ascii="Calibri" w:hAnsi="Calibri" w:cs="Calibri"/>
                <w:b/>
                <w:bCs/>
                <w:sz w:val="22"/>
                <w:szCs w:val="22"/>
              </w:rPr>
              <w:t xml:space="preserve">Thomas </w:t>
            </w:r>
            <w:r>
              <w:rPr>
                <w:rFonts w:ascii="Calibri" w:hAnsi="Calibri" w:cs="Calibri"/>
                <w:b/>
                <w:bCs/>
                <w:sz w:val="22"/>
                <w:szCs w:val="22"/>
              </w:rPr>
              <w:t xml:space="preserve">Stanley – </w:t>
            </w:r>
            <w:r>
              <w:rPr>
                <w:rFonts w:ascii="Calibri" w:hAnsi="Calibri" w:cs="Calibri"/>
                <w:sz w:val="22"/>
                <w:szCs w:val="22"/>
              </w:rPr>
              <w:t xml:space="preserve">Joint Committee on Aging and Independence </w:t>
            </w:r>
            <w:r>
              <w:rPr>
                <w:rFonts w:ascii="Calibri" w:hAnsi="Calibri" w:cs="Calibri"/>
                <w:i/>
                <w:iCs/>
                <w:sz w:val="22"/>
                <w:szCs w:val="22"/>
              </w:rPr>
              <w:t>(Co-Chair)</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4"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69"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6" w14:textId="77777777">
            <w:pPr>
              <w:rPr>
                <w:rFonts w:ascii="Calibri" w:hAnsi="Calibri" w:cs="Calibri"/>
                <w:b/>
                <w:bCs/>
                <w:sz w:val="22"/>
                <w:szCs w:val="22"/>
              </w:rPr>
            </w:pPr>
            <w:r>
              <w:rPr>
                <w:rFonts w:ascii="Calibri" w:hAnsi="Calibri" w:cs="Calibri"/>
                <w:b/>
                <w:bCs/>
                <w:sz w:val="22"/>
                <w:szCs w:val="22"/>
              </w:rPr>
              <w:t>2 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7" w14:textId="77777777">
            <w:r>
              <w:rPr>
                <w:rFonts w:ascii="Calibri" w:hAnsi="Calibri" w:cs="Calibri"/>
                <w:b/>
                <w:bCs/>
                <w:sz w:val="22"/>
                <w:szCs w:val="22"/>
              </w:rPr>
              <w:t xml:space="preserve">Patricia </w:t>
            </w:r>
            <w:proofErr w:type="spellStart"/>
            <w:r>
              <w:rPr>
                <w:rFonts w:ascii="Calibri" w:hAnsi="Calibri" w:cs="Calibri"/>
                <w:b/>
                <w:bCs/>
                <w:sz w:val="22"/>
                <w:szCs w:val="22"/>
              </w:rPr>
              <w:t>Jehlen</w:t>
            </w:r>
            <w:proofErr w:type="spellEnd"/>
            <w:r>
              <w:rPr>
                <w:rFonts w:ascii="Calibri" w:hAnsi="Calibri" w:cs="Calibri"/>
                <w:b/>
                <w:bCs/>
                <w:sz w:val="22"/>
                <w:szCs w:val="22"/>
              </w:rPr>
              <w:t xml:space="preserve"> – </w:t>
            </w:r>
            <w:r>
              <w:rPr>
                <w:rFonts w:ascii="Calibri" w:hAnsi="Calibri" w:cs="Calibri"/>
                <w:sz w:val="22"/>
                <w:szCs w:val="22"/>
              </w:rPr>
              <w:t xml:space="preserve">Joint Committee on Aging and Independence </w:t>
            </w:r>
            <w:r>
              <w:rPr>
                <w:rFonts w:ascii="Calibri" w:hAnsi="Calibri" w:cs="Calibri"/>
                <w:i/>
                <w:iCs/>
                <w:sz w:val="22"/>
                <w:szCs w:val="22"/>
              </w:rPr>
              <w:t>(Co-Chair)</w:t>
            </w:r>
            <w:r>
              <w:rPr>
                <w:rFonts w:ascii="Calibri" w:hAnsi="Calibri" w:cs="Calibri"/>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8"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6D"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A" w14:textId="77777777">
            <w:pPr>
              <w:rPr>
                <w:rFonts w:ascii="Calibri" w:hAnsi="Calibri" w:cs="Calibri"/>
                <w:b/>
                <w:bCs/>
                <w:sz w:val="22"/>
                <w:szCs w:val="22"/>
              </w:rPr>
            </w:pPr>
            <w:r>
              <w:rPr>
                <w:rFonts w:ascii="Calibri" w:hAnsi="Calibri" w:cs="Calibri"/>
                <w:b/>
                <w:bCs/>
                <w:sz w:val="22"/>
                <w:szCs w:val="22"/>
              </w:rPr>
              <w:t>3 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B" w14:textId="77777777">
            <w:r>
              <w:rPr>
                <w:rFonts w:ascii="Calibri" w:hAnsi="Calibri" w:cs="Calibri"/>
                <w:b/>
                <w:bCs/>
                <w:sz w:val="22"/>
                <w:szCs w:val="22"/>
              </w:rPr>
              <w:t xml:space="preserve">James (Jim) Freehling – </w:t>
            </w:r>
            <w:r>
              <w:rPr>
                <w:rFonts w:ascii="Calibri" w:hAnsi="Calibri" w:cs="Calibri"/>
                <w:sz w:val="22"/>
                <w:szCs w:val="22"/>
              </w:rPr>
              <w:t>LeadingAge Massachusetts, Inc.</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C"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71"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E" w14:textId="77777777">
            <w:pPr>
              <w:rPr>
                <w:rFonts w:ascii="Calibri" w:hAnsi="Calibri" w:cs="Calibri"/>
                <w:b/>
                <w:bCs/>
                <w:sz w:val="22"/>
                <w:szCs w:val="22"/>
              </w:rPr>
            </w:pPr>
            <w:r>
              <w:rPr>
                <w:rFonts w:ascii="Calibri" w:hAnsi="Calibri" w:cs="Calibri"/>
                <w:b/>
                <w:bCs/>
                <w:sz w:val="22"/>
                <w:szCs w:val="22"/>
              </w:rPr>
              <w:t>4 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6F" w14:textId="77777777">
            <w:r>
              <w:rPr>
                <w:rFonts w:ascii="Calibri" w:hAnsi="Calibri" w:cs="Calibri"/>
                <w:b/>
                <w:bCs/>
                <w:sz w:val="22"/>
                <w:szCs w:val="22"/>
              </w:rPr>
              <w:t xml:space="preserve">Jean Stringham – </w:t>
            </w:r>
            <w:r>
              <w:rPr>
                <w:rFonts w:ascii="Calibri" w:hAnsi="Calibri" w:cs="Calibri"/>
                <w:sz w:val="22"/>
                <w:szCs w:val="22"/>
              </w:rPr>
              <w:t>Massachusetts Life Care Residents’ Association, Inc. (MLCRA)</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0"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75"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2" w14:textId="77777777">
            <w:pPr>
              <w:rPr>
                <w:rFonts w:ascii="Calibri" w:hAnsi="Calibri" w:cs="Calibri"/>
                <w:b/>
                <w:bCs/>
                <w:sz w:val="22"/>
                <w:szCs w:val="22"/>
              </w:rPr>
            </w:pPr>
            <w:r>
              <w:rPr>
                <w:rFonts w:ascii="Calibri" w:hAnsi="Calibri" w:cs="Calibri"/>
                <w:b/>
                <w:bCs/>
                <w:sz w:val="22"/>
                <w:szCs w:val="22"/>
              </w:rPr>
              <w:t>5 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3" w14:textId="77777777">
            <w:r>
              <w:rPr>
                <w:rFonts w:ascii="Calibri" w:hAnsi="Calibri" w:cs="Calibri"/>
                <w:b/>
                <w:bCs/>
                <w:sz w:val="22"/>
                <w:szCs w:val="22"/>
              </w:rPr>
              <w:t xml:space="preserve">Jessica Costantino – </w:t>
            </w:r>
            <w:r>
              <w:rPr>
                <w:rFonts w:ascii="Calibri" w:hAnsi="Calibri" w:cs="Calibri"/>
                <w:sz w:val="22"/>
                <w:szCs w:val="22"/>
              </w:rPr>
              <w:t>AARP Massachusetts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4"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79"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6" w14:textId="77777777">
            <w:pPr>
              <w:rPr>
                <w:rFonts w:ascii="Calibri" w:hAnsi="Calibri" w:cs="Calibri"/>
                <w:b/>
                <w:bCs/>
                <w:sz w:val="22"/>
                <w:szCs w:val="22"/>
              </w:rPr>
            </w:pPr>
            <w:r>
              <w:rPr>
                <w:rFonts w:ascii="Calibri" w:hAnsi="Calibri" w:cs="Calibri"/>
                <w:b/>
                <w:bCs/>
                <w:sz w:val="22"/>
                <w:szCs w:val="22"/>
              </w:rPr>
              <w:t>6 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7" w14:textId="77777777">
            <w:r>
              <w:rPr>
                <w:rFonts w:ascii="Calibri" w:hAnsi="Calibri" w:cs="Calibri"/>
                <w:b/>
                <w:bCs/>
                <w:sz w:val="22"/>
                <w:szCs w:val="22"/>
              </w:rPr>
              <w:t xml:space="preserve">Lorraine </w:t>
            </w:r>
            <w:proofErr w:type="spellStart"/>
            <w:r>
              <w:rPr>
                <w:rFonts w:ascii="Calibri" w:hAnsi="Calibri" w:cs="Calibri"/>
                <w:b/>
                <w:bCs/>
                <w:sz w:val="22"/>
                <w:szCs w:val="22"/>
              </w:rPr>
              <w:t>Kermond</w:t>
            </w:r>
            <w:proofErr w:type="spellEnd"/>
            <w:r>
              <w:rPr>
                <w:rFonts w:ascii="Calibri" w:hAnsi="Calibri" w:cs="Calibri"/>
                <w:b/>
                <w:bCs/>
                <w:sz w:val="22"/>
                <w:szCs w:val="22"/>
              </w:rPr>
              <w:t xml:space="preserve"> – </w:t>
            </w:r>
            <w:r>
              <w:rPr>
                <w:rFonts w:ascii="Calibri" w:hAnsi="Calibri" w:cs="Calibri"/>
                <w:sz w:val="22"/>
                <w:szCs w:val="22"/>
              </w:rPr>
              <w:t>Alzheimer's Association</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8" w14:textId="77777777">
            <w:pPr>
              <w:rPr>
                <w:rFonts w:ascii="Calibri" w:hAnsi="Calibri" w:cs="Calibri"/>
                <w:b/>
                <w:bCs/>
                <w:sz w:val="22"/>
                <w:szCs w:val="22"/>
              </w:rPr>
            </w:pPr>
            <w:r>
              <w:rPr>
                <w:rFonts w:ascii="Calibri" w:hAnsi="Calibri" w:cs="Calibri"/>
                <w:b/>
                <w:bCs/>
                <w:sz w:val="22"/>
                <w:szCs w:val="22"/>
              </w:rPr>
              <w:t> </w:t>
            </w:r>
          </w:p>
        </w:tc>
      </w:tr>
      <w:tr w:rsidR="002F1688" w:rsidTr="3F32491B" w14:paraId="11DE777D"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A" w14:textId="77777777">
            <w:pPr>
              <w:rPr>
                <w:rFonts w:ascii="Calibri" w:hAnsi="Calibri" w:cs="Calibri"/>
                <w:b/>
                <w:bCs/>
                <w:sz w:val="22"/>
                <w:szCs w:val="22"/>
              </w:rPr>
            </w:pPr>
            <w:r>
              <w:rPr>
                <w:rFonts w:ascii="Calibri" w:hAnsi="Calibri" w:cs="Calibri"/>
                <w:b/>
                <w:bCs/>
                <w:sz w:val="22"/>
                <w:szCs w:val="22"/>
              </w:rPr>
              <w:t>7 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B" w14:textId="77777777">
            <w:r>
              <w:rPr>
                <w:rFonts w:ascii="Calibri" w:hAnsi="Calibri" w:cs="Calibri"/>
                <w:b/>
                <w:bCs/>
                <w:sz w:val="22"/>
                <w:szCs w:val="22"/>
              </w:rPr>
              <w:t xml:space="preserve">Matt Hollingshead – </w:t>
            </w:r>
            <w:r>
              <w:rPr>
                <w:rFonts w:ascii="Calibri" w:hAnsi="Calibri" w:cs="Calibri"/>
                <w:sz w:val="22"/>
                <w:szCs w:val="22"/>
              </w:rPr>
              <w:t>Massachusetts Assisted Living Association, Inc. (MASS-ALA)</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C"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81"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E" w14:textId="77777777">
            <w:pPr>
              <w:rPr>
                <w:rFonts w:ascii="Calibri" w:hAnsi="Calibri" w:cs="Calibri"/>
                <w:b/>
                <w:bCs/>
                <w:sz w:val="22"/>
                <w:szCs w:val="22"/>
              </w:rPr>
            </w:pPr>
            <w:r>
              <w:rPr>
                <w:rFonts w:ascii="Calibri" w:hAnsi="Calibri" w:cs="Calibri"/>
                <w:b/>
                <w:bCs/>
                <w:sz w:val="22"/>
                <w:szCs w:val="22"/>
              </w:rPr>
              <w:t>8 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7F" w14:textId="77777777">
            <w:r>
              <w:rPr>
                <w:rFonts w:ascii="Calibri" w:hAnsi="Calibri" w:cs="Calibri"/>
                <w:b/>
                <w:bCs/>
                <w:sz w:val="22"/>
                <w:szCs w:val="22"/>
              </w:rPr>
              <w:t xml:space="preserve">Robin Lipson – </w:t>
            </w:r>
            <w:r>
              <w:rPr>
                <w:rFonts w:ascii="Calibri" w:hAnsi="Calibri" w:cs="Calibri"/>
                <w:sz w:val="22"/>
                <w:szCs w:val="22"/>
              </w:rPr>
              <w:t>Secretary, Executive Office of Aging and Independence</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0"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85"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2" w14:textId="77777777">
            <w:pPr>
              <w:rPr>
                <w:rFonts w:ascii="Calibri" w:hAnsi="Calibri" w:cs="Calibri"/>
                <w:b/>
                <w:bCs/>
                <w:sz w:val="22"/>
                <w:szCs w:val="22"/>
              </w:rPr>
            </w:pPr>
            <w:r>
              <w:rPr>
                <w:rFonts w:ascii="Calibri" w:hAnsi="Calibri" w:cs="Calibri"/>
                <w:b/>
                <w:bCs/>
                <w:sz w:val="22"/>
                <w:szCs w:val="22"/>
              </w:rPr>
              <w:t>9 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3" w14:textId="77777777">
            <w:r>
              <w:rPr>
                <w:rFonts w:ascii="Calibri" w:hAnsi="Calibri" w:cs="Calibri"/>
                <w:b/>
                <w:bCs/>
                <w:sz w:val="22"/>
                <w:szCs w:val="22"/>
              </w:rPr>
              <w:t xml:space="preserve">Steve Davis – </w:t>
            </w:r>
            <w:r>
              <w:rPr>
                <w:rFonts w:ascii="Calibri" w:hAnsi="Calibri" w:cs="Calibri"/>
                <w:sz w:val="22"/>
                <w:szCs w:val="22"/>
              </w:rPr>
              <w:t>Department of Public Health</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4" w14:textId="2A961EB2">
            <w:pPr>
              <w:rPr>
                <w:rFonts w:ascii="Calibri" w:hAnsi="Calibri" w:cs="Calibri"/>
                <w:b w:val="1"/>
                <w:bCs w:val="1"/>
                <w:sz w:val="22"/>
                <w:szCs w:val="22"/>
              </w:rPr>
            </w:pPr>
            <w:r w:rsidRPr="3F32491B" w:rsidR="3958F83C">
              <w:rPr>
                <w:rFonts w:ascii="Calibri" w:hAnsi="Calibri" w:cs="Calibri"/>
                <w:b w:val="1"/>
                <w:bCs w:val="1"/>
                <w:sz w:val="22"/>
                <w:szCs w:val="22"/>
              </w:rPr>
              <w:t>X</w:t>
            </w:r>
          </w:p>
        </w:tc>
      </w:tr>
      <w:tr w:rsidR="002F1688" w:rsidTr="3F32491B" w14:paraId="11DE7789"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6" w14:textId="77777777">
            <w:pPr>
              <w:rPr>
                <w:rFonts w:ascii="Calibri" w:hAnsi="Calibri" w:cs="Calibri"/>
                <w:b/>
                <w:bCs/>
                <w:sz w:val="22"/>
                <w:szCs w:val="22"/>
              </w:rPr>
            </w:pPr>
            <w:r>
              <w:rPr>
                <w:rFonts w:ascii="Calibri" w:hAnsi="Calibri" w:cs="Calibri"/>
                <w:b/>
                <w:bCs/>
                <w:sz w:val="22"/>
                <w:szCs w:val="22"/>
              </w:rPr>
              <w:t>10 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7" w14:textId="77777777">
            <w:r>
              <w:rPr>
                <w:rFonts w:ascii="Calibri" w:hAnsi="Calibri" w:cs="Calibri"/>
                <w:b/>
                <w:bCs/>
                <w:sz w:val="22"/>
                <w:szCs w:val="22"/>
              </w:rPr>
              <w:t xml:space="preserve">Tara Gregorio – </w:t>
            </w:r>
            <w:r>
              <w:rPr>
                <w:rFonts w:ascii="Calibri" w:hAnsi="Calibri" w:cs="Calibri"/>
                <w:sz w:val="22"/>
                <w:szCs w:val="22"/>
              </w:rPr>
              <w:t>Massachusetts Senior Care Association, Inc.</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8"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8D"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A" w14:textId="77777777">
            <w:pPr>
              <w:rPr>
                <w:rFonts w:ascii="Calibri" w:hAnsi="Calibri" w:cs="Calibri"/>
                <w:b/>
                <w:bCs/>
                <w:sz w:val="22"/>
                <w:szCs w:val="22"/>
              </w:rPr>
            </w:pPr>
            <w:r>
              <w:rPr>
                <w:rFonts w:ascii="Calibri" w:hAnsi="Calibri" w:cs="Calibri"/>
                <w:b/>
                <w:bCs/>
                <w:sz w:val="22"/>
                <w:szCs w:val="22"/>
              </w:rPr>
              <w:t>11 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B" w14:textId="77777777">
            <w:r>
              <w:rPr>
                <w:rFonts w:ascii="Calibri" w:hAnsi="Calibri" w:cs="Calibri"/>
                <w:b/>
                <w:bCs/>
                <w:sz w:val="22"/>
                <w:szCs w:val="22"/>
              </w:rPr>
              <w:t xml:space="preserve">Valerie Fries – </w:t>
            </w:r>
            <w:r>
              <w:rPr>
                <w:rFonts w:ascii="Calibri" w:hAnsi="Calibri" w:cs="Calibri"/>
                <w:sz w:val="22"/>
                <w:szCs w:val="22"/>
              </w:rPr>
              <w:t>Attorney General’s Office (AGO)</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C"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91"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E" w14:textId="77777777">
            <w:pPr>
              <w:rPr>
                <w:rFonts w:ascii="Calibri" w:hAnsi="Calibri" w:cs="Calibri"/>
                <w:b/>
                <w:bCs/>
                <w:sz w:val="22"/>
                <w:szCs w:val="22"/>
              </w:rPr>
            </w:pPr>
            <w:r>
              <w:rPr>
                <w:rFonts w:ascii="Calibri" w:hAnsi="Calibri" w:cs="Calibri"/>
                <w:b/>
                <w:bCs/>
                <w:sz w:val="22"/>
                <w:szCs w:val="22"/>
              </w:rPr>
              <w:t>12 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8F" w14:textId="77777777">
            <w:r>
              <w:rPr>
                <w:rFonts w:ascii="Calibri" w:hAnsi="Calibri" w:cs="Calibri"/>
                <w:b/>
                <w:bCs/>
                <w:sz w:val="22"/>
                <w:szCs w:val="22"/>
              </w:rPr>
              <w:t xml:space="preserve">Henry </w:t>
            </w:r>
            <w:proofErr w:type="spellStart"/>
            <w:r>
              <w:rPr>
                <w:rFonts w:ascii="Calibri" w:hAnsi="Calibri" w:cs="Calibri"/>
                <w:b/>
                <w:bCs/>
                <w:sz w:val="22"/>
                <w:szCs w:val="22"/>
              </w:rPr>
              <w:t>DeLima</w:t>
            </w:r>
            <w:proofErr w:type="spellEnd"/>
            <w:r>
              <w:rPr>
                <w:rFonts w:ascii="Calibri" w:hAnsi="Calibri" w:cs="Calibri"/>
                <w:b/>
                <w:bCs/>
                <w:sz w:val="22"/>
                <w:szCs w:val="22"/>
              </w:rPr>
              <w:t xml:space="preserve"> – </w:t>
            </w:r>
            <w:r>
              <w:rPr>
                <w:rFonts w:ascii="Calibri" w:hAnsi="Calibri" w:cs="Calibri"/>
                <w:sz w:val="22"/>
                <w:szCs w:val="22"/>
              </w:rPr>
              <w:t>1199 SEIU Massachusetts</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0" w14:textId="77777777">
            <w:pPr>
              <w:rPr>
                <w:rFonts w:ascii="Calibri" w:hAnsi="Calibri" w:cs="Calibri"/>
                <w:b/>
                <w:bCs/>
                <w:sz w:val="22"/>
                <w:szCs w:val="22"/>
              </w:rPr>
            </w:pPr>
            <w:r>
              <w:rPr>
                <w:rFonts w:ascii="Calibri" w:hAnsi="Calibri" w:cs="Calibri"/>
                <w:b/>
                <w:bCs/>
                <w:sz w:val="22"/>
                <w:szCs w:val="22"/>
              </w:rPr>
              <w:t>X</w:t>
            </w:r>
          </w:p>
        </w:tc>
      </w:tr>
      <w:tr w:rsidR="002F1688" w:rsidTr="3F32491B" w14:paraId="11DE7795"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2" w14:textId="77777777">
            <w:pPr>
              <w:rPr>
                <w:rFonts w:ascii="Calibri" w:hAnsi="Calibri" w:cs="Calibri"/>
                <w:b/>
                <w:bCs/>
                <w:sz w:val="22"/>
                <w:szCs w:val="22"/>
              </w:rPr>
            </w:pPr>
            <w:r>
              <w:rPr>
                <w:rFonts w:ascii="Calibri" w:hAnsi="Calibri" w:cs="Calibri"/>
                <w:b/>
                <w:bCs/>
                <w:sz w:val="22"/>
                <w:szCs w:val="22"/>
              </w:rPr>
              <w:t>14 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3" w14:textId="77777777">
            <w:r>
              <w:rPr>
                <w:rFonts w:ascii="Calibri" w:hAnsi="Calibri" w:cs="Calibri"/>
                <w:b/>
                <w:bCs/>
                <w:sz w:val="22"/>
                <w:szCs w:val="22"/>
              </w:rPr>
              <w:t xml:space="preserve">John Ford - </w:t>
            </w:r>
            <w:r>
              <w:rPr>
                <w:rFonts w:ascii="Calibri" w:hAnsi="Calibri" w:cs="Calibri"/>
                <w:sz w:val="22"/>
                <w:szCs w:val="22"/>
              </w:rPr>
              <w:t>Massachusetts Chapter of the National Academy of Elder Law Attorneys (</w:t>
            </w:r>
            <w:proofErr w:type="spellStart"/>
            <w:r>
              <w:rPr>
                <w:rFonts w:ascii="Calibri" w:hAnsi="Calibri" w:cs="Calibri"/>
                <w:sz w:val="22"/>
                <w:szCs w:val="22"/>
              </w:rPr>
              <w:t>MassNAELA</w:t>
            </w:r>
            <w:proofErr w:type="spellEnd"/>
            <w:r>
              <w:rPr>
                <w:rFonts w:ascii="Calibri" w:hAnsi="Calibri" w:cs="Calibri"/>
                <w:sz w:val="22"/>
                <w:szCs w:val="22"/>
              </w:rPr>
              <w:t>)</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4"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99" w14:textId="77777777">
        <w:tblPrEx>
          <w:tblCellMar>
            <w:top w:w="0" w:type="dxa"/>
            <w:bottom w:w="0" w:type="dxa"/>
          </w:tblCellMar>
        </w:tblPrEx>
        <w:trPr>
          <w:trHeight w:val="264"/>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6" w14:textId="77777777">
            <w:pPr>
              <w:rPr>
                <w:rFonts w:ascii="Calibri" w:hAnsi="Calibri" w:cs="Calibri"/>
                <w:b/>
                <w:bCs/>
                <w:sz w:val="22"/>
                <w:szCs w:val="22"/>
              </w:rPr>
            </w:pPr>
            <w:r>
              <w:rPr>
                <w:rFonts w:ascii="Calibri" w:hAnsi="Calibri" w:cs="Calibri"/>
                <w:b/>
                <w:bCs/>
                <w:sz w:val="22"/>
                <w:szCs w:val="22"/>
              </w:rPr>
              <w:t>15 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7" w14:textId="77777777">
            <w:r>
              <w:rPr>
                <w:rFonts w:ascii="Calibri" w:hAnsi="Calibri" w:cs="Calibri"/>
                <w:b/>
                <w:bCs/>
                <w:sz w:val="22"/>
                <w:szCs w:val="22"/>
              </w:rPr>
              <w:t xml:space="preserve">Dave VanArsdale – </w:t>
            </w:r>
            <w:r>
              <w:rPr>
                <w:rFonts w:ascii="Calibri" w:hAnsi="Calibri" w:cs="Calibri"/>
                <w:sz w:val="22"/>
                <w:szCs w:val="22"/>
              </w:rPr>
              <w:t>CCRC Resident</w:t>
            </w:r>
            <w:r>
              <w:rPr>
                <w:rFonts w:ascii="Calibri" w:hAnsi="Calibri" w:cs="Calibri"/>
                <w:b/>
                <w:bCs/>
                <w:sz w:val="22"/>
                <w:szCs w:val="22"/>
              </w:rPr>
              <w: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8" w14:textId="77777777">
            <w:pPr>
              <w:rPr>
                <w:rFonts w:ascii="Calibri" w:hAnsi="Calibri" w:cs="Calibri"/>
                <w:b/>
                <w:bCs/>
                <w:sz w:val="22"/>
                <w:szCs w:val="22"/>
              </w:rPr>
            </w:pPr>
            <w:r>
              <w:rPr>
                <w:rFonts w:ascii="Calibri" w:hAnsi="Calibri" w:cs="Calibri"/>
                <w:b/>
                <w:bCs/>
                <w:sz w:val="22"/>
                <w:szCs w:val="22"/>
              </w:rPr>
              <w:t>X </w:t>
            </w:r>
          </w:p>
        </w:tc>
      </w:tr>
      <w:tr w:rsidR="002F1688" w:rsidTr="3F32491B" w14:paraId="11DE779D" w14:textId="77777777">
        <w:tblPrEx>
          <w:tblCellMar>
            <w:top w:w="0" w:type="dxa"/>
            <w:bottom w:w="0" w:type="dxa"/>
          </w:tblCellMar>
        </w:tblPrEx>
        <w:trPr>
          <w:trHeight w:val="255"/>
        </w:trPr>
        <w:tc>
          <w:tcPr>
            <w:tcW w:w="49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A" w14:textId="77777777">
            <w:pPr>
              <w:rPr>
                <w:rFonts w:ascii="Calibri" w:hAnsi="Calibri" w:cs="Calibri"/>
                <w:b/>
                <w:bCs/>
                <w:sz w:val="22"/>
                <w:szCs w:val="22"/>
              </w:rPr>
            </w:pPr>
            <w:r>
              <w:rPr>
                <w:rFonts w:ascii="Calibri" w:hAnsi="Calibri" w:cs="Calibri"/>
                <w:b/>
                <w:bCs/>
                <w:sz w:val="22"/>
                <w:szCs w:val="22"/>
              </w:rPr>
              <w:t>16 </w:t>
            </w:r>
          </w:p>
        </w:tc>
        <w:tc>
          <w:tcPr>
            <w:tcW w:w="77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B" w14:textId="77777777">
            <w:r>
              <w:rPr>
                <w:rFonts w:ascii="Calibri" w:hAnsi="Calibri" w:cs="Calibri"/>
                <w:b/>
                <w:bCs/>
                <w:sz w:val="22"/>
                <w:szCs w:val="22"/>
              </w:rPr>
              <w:t xml:space="preserve">Christine (Chris) Griffin – </w:t>
            </w:r>
            <w:r>
              <w:rPr>
                <w:rFonts w:ascii="Calibri" w:hAnsi="Calibri" w:cs="Calibri"/>
                <w:sz w:val="22"/>
                <w:szCs w:val="22"/>
              </w:rPr>
              <w:t>CCRC Resident </w:t>
            </w:r>
          </w:p>
        </w:tc>
        <w:tc>
          <w:tcPr>
            <w:tcW w:w="112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002F1688" w:rsidRDefault="009566CD" w14:paraId="11DE779C" w14:textId="77777777">
            <w:pPr>
              <w:rPr>
                <w:rFonts w:ascii="Calibri" w:hAnsi="Calibri" w:cs="Calibri"/>
                <w:b/>
                <w:bCs/>
                <w:sz w:val="22"/>
                <w:szCs w:val="22"/>
              </w:rPr>
            </w:pPr>
            <w:r>
              <w:rPr>
                <w:rFonts w:ascii="Calibri" w:hAnsi="Calibri" w:cs="Calibri"/>
                <w:b/>
                <w:bCs/>
                <w:sz w:val="22"/>
                <w:szCs w:val="22"/>
              </w:rPr>
              <w:t>X </w:t>
            </w:r>
          </w:p>
        </w:tc>
      </w:tr>
    </w:tbl>
    <w:p w:rsidR="002F1688" w:rsidRDefault="002F1688" w14:paraId="11DE779E" w14:textId="77777777">
      <w:pPr>
        <w:rPr>
          <w:rFonts w:ascii="Calibri" w:hAnsi="Calibri" w:cs="Calibri"/>
          <w:b/>
          <w:bCs/>
        </w:rPr>
      </w:pPr>
    </w:p>
    <w:p w:rsidR="002F1688" w:rsidRDefault="002F1688" w14:paraId="11DE779F" w14:textId="77777777">
      <w:pPr>
        <w:rPr>
          <w:rFonts w:ascii="Calibri" w:hAnsi="Calibri" w:cs="Calibri"/>
          <w:b/>
          <w:bCs/>
        </w:rPr>
      </w:pPr>
    </w:p>
    <w:p w:rsidR="002F1688" w:rsidRDefault="009566CD" w14:paraId="11DE77A0" w14:textId="77777777">
      <w:pPr>
        <w:rPr>
          <w:rFonts w:ascii="Calibri" w:hAnsi="Calibri" w:cs="Calibri"/>
          <w:b/>
          <w:bCs/>
        </w:rPr>
      </w:pPr>
      <w:r>
        <w:rPr>
          <w:rFonts w:ascii="Calibri" w:hAnsi="Calibri" w:cs="Calibri"/>
          <w:b/>
          <w:bCs/>
        </w:rPr>
        <w:lastRenderedPageBreak/>
        <w:t>Proceedings:</w:t>
      </w:r>
    </w:p>
    <w:p w:rsidR="002F1688" w:rsidRDefault="009566CD" w14:paraId="11DE77A1" w14:textId="77777777">
      <w:pPr>
        <w:rPr>
          <w:rFonts w:ascii="Calibri" w:hAnsi="Calibri" w:cs="Calibri"/>
        </w:rPr>
      </w:pPr>
      <w:r>
        <w:rPr>
          <w:rFonts w:ascii="Calibri" w:hAnsi="Calibri" w:cs="Calibri"/>
        </w:rPr>
        <w:t xml:space="preserve">Julianna Fernandez opened the meeting at approximately 10:00am. She reiterated that “consensus” is being defined as no dissent and that members will have a chance to voice their dissent throughout the meeting. </w:t>
      </w:r>
    </w:p>
    <w:p w:rsidR="002F1688" w:rsidRDefault="009566CD" w14:paraId="11DE77A2" w14:textId="77777777">
      <w:pPr>
        <w:rPr>
          <w:rFonts w:ascii="Calibri" w:hAnsi="Calibri" w:cs="Calibri"/>
        </w:rPr>
      </w:pPr>
      <w:r w:rsidRPr="3F32491B" w:rsidR="009566CD">
        <w:rPr>
          <w:rFonts w:ascii="Calibri" w:hAnsi="Calibri" w:cs="Calibri"/>
        </w:rPr>
        <w:t xml:space="preserve">Christine Griffin </w:t>
      </w:r>
      <w:r w:rsidRPr="3F32491B" w:rsidR="009566CD">
        <w:rPr>
          <w:rFonts w:ascii="Calibri" w:hAnsi="Calibri" w:cs="Calibri"/>
        </w:rPr>
        <w:t>stated</w:t>
      </w:r>
      <w:r w:rsidRPr="3F32491B" w:rsidR="009566CD">
        <w:rPr>
          <w:rFonts w:ascii="Calibri" w:hAnsi="Calibri" w:cs="Calibri"/>
        </w:rPr>
        <w:t xml:space="preserve"> she </w:t>
      </w:r>
      <w:r w:rsidRPr="3F32491B" w:rsidR="009566CD">
        <w:rPr>
          <w:rFonts w:ascii="Calibri" w:hAnsi="Calibri" w:cs="Calibri"/>
        </w:rPr>
        <w:t xml:space="preserve">would like to discuss how the Commission defines “consensus” and does not believe one dissent should remove a recommendation. </w:t>
      </w:r>
    </w:p>
    <w:p w:rsidR="5BD252A2" w:rsidP="3F32491B" w:rsidRDefault="5BD252A2" w14:paraId="6DEDB2D3" w14:textId="687FB502">
      <w:pPr>
        <w:rPr>
          <w:rFonts w:ascii="Calibri" w:hAnsi="Calibri" w:cs="Calibri"/>
        </w:rPr>
      </w:pPr>
      <w:r w:rsidRPr="3F32491B" w:rsidR="5BD252A2">
        <w:rPr>
          <w:rFonts w:ascii="Calibri" w:hAnsi="Calibri" w:cs="Calibri"/>
        </w:rPr>
        <w:t>Rep. Stanley responded that</w:t>
      </w:r>
      <w:r w:rsidRPr="3F32491B" w:rsidR="602E872A">
        <w:rPr>
          <w:rFonts w:ascii="Calibri" w:hAnsi="Calibri" w:cs="Calibri"/>
        </w:rPr>
        <w:t xml:space="preserve"> by definition,</w:t>
      </w:r>
      <w:r w:rsidRPr="3F32491B" w:rsidR="5BD252A2">
        <w:rPr>
          <w:rFonts w:ascii="Calibri" w:hAnsi="Calibri" w:cs="Calibri"/>
        </w:rPr>
        <w:t xml:space="preserve"> consensus </w:t>
      </w:r>
      <w:r w:rsidRPr="3F32491B" w:rsidR="366E2DCD">
        <w:rPr>
          <w:rFonts w:ascii="Calibri" w:hAnsi="Calibri" w:cs="Calibri"/>
        </w:rPr>
        <w:t>means that everyone agrees</w:t>
      </w:r>
    </w:p>
    <w:p w:rsidR="002F1688" w:rsidRDefault="009566CD" w14:paraId="11DE77A3" w14:textId="77777777">
      <w:pPr>
        <w:rPr>
          <w:rFonts w:ascii="Calibri" w:hAnsi="Calibri" w:cs="Calibri"/>
        </w:rPr>
      </w:pPr>
      <w:r>
        <w:rPr>
          <w:rFonts w:ascii="Calibri" w:hAnsi="Calibri" w:cs="Calibri"/>
        </w:rPr>
        <w:t xml:space="preserve">Sen. </w:t>
      </w:r>
      <w:proofErr w:type="spellStart"/>
      <w:r>
        <w:rPr>
          <w:rFonts w:ascii="Calibri" w:hAnsi="Calibri" w:cs="Calibri"/>
        </w:rPr>
        <w:t>Jehlen</w:t>
      </w:r>
      <w:proofErr w:type="spellEnd"/>
      <w:r>
        <w:rPr>
          <w:rFonts w:ascii="Calibri" w:hAnsi="Calibri" w:cs="Calibri"/>
        </w:rPr>
        <w:t xml:space="preserve"> noted recommendations must have consensus and the report will recognize disagreements. The report will also include majority/minority opinions for recommendations that could not reach consensus. </w:t>
      </w:r>
    </w:p>
    <w:p w:rsidR="002F1688" w:rsidRDefault="009566CD" w14:paraId="11DE77A4" w14:textId="77777777">
      <w:pPr>
        <w:rPr>
          <w:rFonts w:ascii="Calibri" w:hAnsi="Calibri" w:cs="Calibri"/>
        </w:rPr>
      </w:pPr>
      <w:r w:rsidRPr="3F32491B" w:rsidR="009566CD">
        <w:rPr>
          <w:rFonts w:ascii="Calibri" w:hAnsi="Calibri" w:cs="Calibri"/>
        </w:rPr>
        <w:t xml:space="preserve">John Ford </w:t>
      </w:r>
      <w:r w:rsidRPr="3F32491B" w:rsidR="009566CD">
        <w:rPr>
          <w:rFonts w:ascii="Calibri" w:hAnsi="Calibri" w:cs="Calibri"/>
        </w:rPr>
        <w:t>stated</w:t>
      </w:r>
      <w:r w:rsidRPr="3F32491B" w:rsidR="009566CD">
        <w:rPr>
          <w:rFonts w:ascii="Calibri" w:hAnsi="Calibri" w:cs="Calibri"/>
        </w:rPr>
        <w:t xml:space="preserve"> he is unable to accept the notion that one industry representative can prevent commission from making a recommendation when majority of members agree. He also noted that he does not want the Commission report to say that the status quo is fine but provide concrete recommendations. </w:t>
      </w:r>
    </w:p>
    <w:p w:rsidR="5304D0E8" w:rsidP="3F32491B" w:rsidRDefault="5304D0E8" w14:paraId="242C7659" w14:textId="73322A1B">
      <w:pPr>
        <w:rPr>
          <w:rFonts w:ascii="Calibri" w:hAnsi="Calibri" w:cs="Calibri"/>
        </w:rPr>
      </w:pPr>
      <w:r w:rsidRPr="3F32491B" w:rsidR="5304D0E8">
        <w:rPr>
          <w:rFonts w:ascii="Calibri" w:hAnsi="Calibri" w:cs="Calibri"/>
        </w:rPr>
        <w:t xml:space="preserve">Dave </w:t>
      </w:r>
      <w:r w:rsidRPr="3F32491B" w:rsidR="5304D0E8">
        <w:rPr>
          <w:rFonts w:ascii="Calibri" w:hAnsi="Calibri" w:cs="Calibri"/>
        </w:rPr>
        <w:t>VanArdsdale</w:t>
      </w:r>
      <w:r w:rsidRPr="3F32491B" w:rsidR="5304D0E8">
        <w:rPr>
          <w:rFonts w:ascii="Calibri" w:hAnsi="Calibri" w:cs="Calibri"/>
        </w:rPr>
        <w:t xml:space="preserve"> asked why the annual meeting between </w:t>
      </w:r>
      <w:r w:rsidRPr="3F32491B" w:rsidR="5304D0E8">
        <w:rPr>
          <w:rFonts w:ascii="Calibri" w:hAnsi="Calibri" w:cs="Calibri"/>
        </w:rPr>
        <w:t>resident</w:t>
      </w:r>
      <w:r w:rsidRPr="3F32491B" w:rsidR="5304D0E8">
        <w:rPr>
          <w:rFonts w:ascii="Calibri" w:hAnsi="Calibri" w:cs="Calibri"/>
        </w:rPr>
        <w:t xml:space="preserve"> advisory council and board wa</w:t>
      </w:r>
      <w:r w:rsidRPr="3F32491B" w:rsidR="05A3F5DA">
        <w:rPr>
          <w:rFonts w:ascii="Calibri" w:hAnsi="Calibri" w:cs="Calibri"/>
        </w:rPr>
        <w:t>s included</w:t>
      </w:r>
    </w:p>
    <w:p w:rsidR="002F1688" w:rsidRDefault="009566CD" w14:paraId="11DE77A5" w14:textId="77777777">
      <w:pPr>
        <w:rPr>
          <w:rFonts w:ascii="Calibri" w:hAnsi="Calibri" w:cs="Calibri"/>
        </w:rPr>
      </w:pPr>
      <w:r w:rsidRPr="3F32491B" w:rsidR="009566CD">
        <w:rPr>
          <w:rFonts w:ascii="Calibri" w:hAnsi="Calibri" w:cs="Calibri"/>
        </w:rPr>
        <w:t xml:space="preserve">Christine Griffin </w:t>
      </w:r>
      <w:r w:rsidRPr="3F32491B" w:rsidR="009566CD">
        <w:rPr>
          <w:rFonts w:ascii="Calibri" w:hAnsi="Calibri" w:cs="Calibri"/>
        </w:rPr>
        <w:t>stated</w:t>
      </w:r>
      <w:r w:rsidRPr="3F32491B" w:rsidR="009566CD">
        <w:rPr>
          <w:rFonts w:ascii="Calibri" w:hAnsi="Calibri" w:cs="Calibri"/>
        </w:rPr>
        <w:t xml:space="preserve"> that she disagrees with resident advisory council recommendation and noted her dissents. She also did not agree with Sen. </w:t>
      </w:r>
      <w:r w:rsidRPr="3F32491B" w:rsidR="009566CD">
        <w:rPr>
          <w:rFonts w:ascii="Calibri" w:hAnsi="Calibri" w:cs="Calibri"/>
        </w:rPr>
        <w:t>Jehlen’s</w:t>
      </w:r>
      <w:r w:rsidRPr="3F32491B" w:rsidR="009566CD">
        <w:rPr>
          <w:rFonts w:ascii="Calibri" w:hAnsi="Calibri" w:cs="Calibri"/>
        </w:rPr>
        <w:t xml:space="preserve"> suggestion of requiring all board meetings to be open rather than one annual meeting. She stressed that residents need to have a voice at the table and </w:t>
      </w:r>
      <w:r w:rsidRPr="3F32491B" w:rsidR="009566CD">
        <w:rPr>
          <w:rFonts w:ascii="Calibri" w:hAnsi="Calibri" w:cs="Calibri"/>
        </w:rPr>
        <w:t>does</w:t>
      </w:r>
      <w:r w:rsidRPr="3F32491B" w:rsidR="009566CD">
        <w:rPr>
          <w:rFonts w:ascii="Calibri" w:hAnsi="Calibri" w:cs="Calibri"/>
        </w:rPr>
        <w:t xml:space="preserve"> not want to be asked to agree to something that is less than what they advocated for. She noted how much public testimony spoke </w:t>
      </w:r>
      <w:r w:rsidRPr="3F32491B" w:rsidR="009566CD">
        <w:rPr>
          <w:rFonts w:ascii="Calibri" w:hAnsi="Calibri" w:cs="Calibri"/>
        </w:rPr>
        <w:t>to</w:t>
      </w:r>
      <w:r w:rsidRPr="3F32491B" w:rsidR="009566CD">
        <w:rPr>
          <w:rFonts w:ascii="Calibri" w:hAnsi="Calibri" w:cs="Calibri"/>
        </w:rPr>
        <w:t xml:space="preserve"> this issue</w:t>
      </w:r>
      <w:r w:rsidRPr="3F32491B" w:rsidR="009566CD">
        <w:rPr>
          <w:rFonts w:ascii="Calibri" w:hAnsi="Calibri" w:cs="Calibri"/>
        </w:rPr>
        <w:t xml:space="preserve">.  </w:t>
      </w:r>
    </w:p>
    <w:p w:rsidR="250AC94A" w:rsidP="3F32491B" w:rsidRDefault="250AC94A" w14:paraId="1300A48D" w14:textId="56549F82">
      <w:pPr>
        <w:pStyle w:val="Normal"/>
        <w:rPr>
          <w:rFonts w:ascii="Calibri" w:hAnsi="Calibri" w:cs="Calibri"/>
        </w:rPr>
      </w:pPr>
      <w:r w:rsidRPr="3F32491B" w:rsidR="250AC94A">
        <w:rPr>
          <w:rFonts w:ascii="Calibri" w:hAnsi="Calibri" w:cs="Calibri"/>
        </w:rPr>
        <w:t>Sen. Jehlen asked if requiring all board meetings to be open would be helpful</w:t>
      </w:r>
    </w:p>
    <w:p w:rsidR="250AC94A" w:rsidP="3F32491B" w:rsidRDefault="250AC94A" w14:paraId="1FD70EE3" w14:textId="755DBD92">
      <w:pPr>
        <w:pStyle w:val="Normal"/>
        <w:rPr>
          <w:rFonts w:ascii="Calibri" w:hAnsi="Calibri" w:cs="Calibri"/>
        </w:rPr>
      </w:pPr>
      <w:r w:rsidRPr="3F32491B" w:rsidR="250AC94A">
        <w:rPr>
          <w:rFonts w:ascii="Calibri" w:hAnsi="Calibri" w:cs="Calibri"/>
        </w:rPr>
        <w:t>Christine Griffin replied that it is not enough, need a resident board member</w:t>
      </w:r>
    </w:p>
    <w:p w:rsidR="002F1688" w:rsidRDefault="009566CD" w14:paraId="11DE77A6" w14:textId="77777777">
      <w:pPr>
        <w:rPr>
          <w:rFonts w:ascii="Calibri" w:hAnsi="Calibri" w:cs="Calibri"/>
        </w:rPr>
      </w:pPr>
      <w:r>
        <w:rPr>
          <w:rFonts w:ascii="Calibri" w:hAnsi="Calibri" w:cs="Calibri"/>
        </w:rPr>
        <w:t xml:space="preserve">Secretary Lipson suggested that a recommendation could state that resident voices should be represented but the Commission lacked consensus on how to do that. </w:t>
      </w:r>
    </w:p>
    <w:p w:rsidR="002F1688" w:rsidRDefault="009566CD" w14:paraId="11DE77A7" w14:textId="77777777">
      <w:pPr>
        <w:rPr>
          <w:rFonts w:ascii="Calibri" w:hAnsi="Calibri" w:cs="Calibri"/>
        </w:rPr>
      </w:pPr>
      <w:r>
        <w:rPr>
          <w:rFonts w:ascii="Calibri" w:hAnsi="Calibri" w:cs="Calibri"/>
        </w:rPr>
        <w:t xml:space="preserve">Jean Stringham agreed with Sec. Lipson’s suggestion and would like further discussion on this topic. </w:t>
      </w:r>
    </w:p>
    <w:p w:rsidR="002F1688" w:rsidRDefault="009566CD" w14:paraId="11DE77A8" w14:textId="77777777">
      <w:pPr>
        <w:rPr>
          <w:rFonts w:ascii="Calibri" w:hAnsi="Calibri" w:cs="Calibri"/>
        </w:rPr>
      </w:pPr>
      <w:r>
        <w:rPr>
          <w:rFonts w:ascii="Calibri" w:hAnsi="Calibri" w:cs="Calibri"/>
        </w:rPr>
        <w:t xml:space="preserve">Dave VanArsdale noted there is more work to be done on defining </w:t>
      </w:r>
      <w:proofErr w:type="gramStart"/>
      <w:r>
        <w:rPr>
          <w:rFonts w:ascii="Calibri" w:hAnsi="Calibri" w:cs="Calibri"/>
        </w:rPr>
        <w:t>a CCRC</w:t>
      </w:r>
      <w:proofErr w:type="gramEnd"/>
      <w:r>
        <w:rPr>
          <w:rFonts w:ascii="Calibri" w:hAnsi="Calibri" w:cs="Calibri"/>
        </w:rPr>
        <w:t xml:space="preserve">. There should be minimum criteria </w:t>
      </w:r>
      <w:proofErr w:type="gramStart"/>
      <w:r>
        <w:rPr>
          <w:rFonts w:ascii="Calibri" w:hAnsi="Calibri" w:cs="Calibri"/>
        </w:rPr>
        <w:t>of</w:t>
      </w:r>
      <w:proofErr w:type="gramEnd"/>
      <w:r>
        <w:rPr>
          <w:rFonts w:ascii="Calibri" w:hAnsi="Calibri" w:cs="Calibri"/>
        </w:rPr>
        <w:t xml:space="preserve"> what </w:t>
      </w:r>
      <w:proofErr w:type="gramStart"/>
      <w:r>
        <w:rPr>
          <w:rFonts w:ascii="Calibri" w:hAnsi="Calibri" w:cs="Calibri"/>
        </w:rPr>
        <w:t>a CCRC</w:t>
      </w:r>
      <w:proofErr w:type="gramEnd"/>
      <w:r>
        <w:rPr>
          <w:rFonts w:ascii="Calibri" w:hAnsi="Calibri" w:cs="Calibri"/>
        </w:rPr>
        <w:t xml:space="preserve"> is. </w:t>
      </w:r>
    </w:p>
    <w:p w:rsidR="002F1688" w:rsidRDefault="009566CD" w14:paraId="11DE77A9" w14:textId="77777777">
      <w:pPr>
        <w:rPr>
          <w:rFonts w:ascii="Calibri" w:hAnsi="Calibri" w:cs="Calibri"/>
        </w:rPr>
      </w:pPr>
      <w:r>
        <w:rPr>
          <w:rFonts w:ascii="Calibri" w:hAnsi="Calibri" w:cs="Calibri"/>
        </w:rPr>
        <w:t xml:space="preserve">The recommendation for an annual board meeting open to residents was dissented to and will be struck from recommendations. </w:t>
      </w:r>
    </w:p>
    <w:p w:rsidR="002F1688" w:rsidRDefault="009566CD" w14:paraId="11DE77AA" w14:textId="77777777">
      <w:pPr>
        <w:rPr>
          <w:rFonts w:ascii="Calibri" w:hAnsi="Calibri" w:cs="Calibri"/>
          <w:b/>
          <w:bCs/>
        </w:rPr>
      </w:pPr>
      <w:r>
        <w:rPr>
          <w:rFonts w:ascii="Calibri" w:hAnsi="Calibri" w:cs="Calibri"/>
          <w:b/>
          <w:bCs/>
        </w:rPr>
        <w:t xml:space="preserve">Charge 1 Findings: The Commission shall study and report on continuing care retirement communities, their care contracts and their impact on consumers. </w:t>
      </w:r>
    </w:p>
    <w:p w:rsidR="002F1688" w:rsidRDefault="009566CD" w14:paraId="11DE77AB" w14:textId="77777777">
      <w:pPr>
        <w:rPr>
          <w:rFonts w:ascii="Calibri" w:hAnsi="Calibri" w:cs="Calibri"/>
        </w:rPr>
      </w:pPr>
      <w:r>
        <w:rPr>
          <w:rFonts w:ascii="Calibri" w:hAnsi="Calibri" w:cs="Calibri"/>
        </w:rPr>
        <w:t xml:space="preserve">There was no noted dissent for Charge 1 Findings. </w:t>
      </w:r>
    </w:p>
    <w:p w:rsidR="002F1688" w:rsidRDefault="009566CD" w14:paraId="11DE77AC" w14:textId="77777777">
      <w:pPr>
        <w:rPr>
          <w:rFonts w:ascii="Calibri" w:hAnsi="Calibri" w:cs="Calibri"/>
          <w:b/>
          <w:bCs/>
        </w:rPr>
      </w:pPr>
      <w:r>
        <w:rPr>
          <w:rFonts w:ascii="Calibri" w:hAnsi="Calibri" w:cs="Calibri"/>
          <w:b/>
          <w:bCs/>
        </w:rPr>
        <w:t>Charge 2 Findings: The Commission shall study and report on the financial viability of CCRCs</w:t>
      </w:r>
    </w:p>
    <w:p w:rsidR="002F1688" w:rsidRDefault="009566CD" w14:paraId="11DE77AD" w14:textId="68B2915C">
      <w:pPr>
        <w:rPr>
          <w:rFonts w:ascii="Calibri" w:hAnsi="Calibri" w:cs="Calibri"/>
        </w:rPr>
      </w:pPr>
      <w:r w:rsidRPr="27648FBD" w:rsidR="009566CD">
        <w:rPr>
          <w:rFonts w:ascii="Calibri" w:hAnsi="Calibri" w:cs="Calibri"/>
        </w:rPr>
        <w:t xml:space="preserve">Tara Gregorio inquired about data that led to findings for charge 2, specifically language of “financially robust”. She noted that </w:t>
      </w:r>
      <w:r w:rsidRPr="27648FBD" w:rsidR="009566CD">
        <w:rPr>
          <w:rFonts w:ascii="Calibri" w:hAnsi="Calibri" w:cs="Calibri"/>
        </w:rPr>
        <w:t>financial</w:t>
      </w:r>
      <w:r w:rsidRPr="27648FBD" w:rsidR="009566CD">
        <w:rPr>
          <w:rFonts w:ascii="Calibri" w:hAnsi="Calibri" w:cs="Calibri"/>
        </w:rPr>
        <w:t xml:space="preserve"> status of CCRCs </w:t>
      </w:r>
      <w:r w:rsidRPr="27648FBD" w:rsidR="2FC11048">
        <w:rPr>
          <w:rFonts w:ascii="Calibri" w:hAnsi="Calibri" w:cs="Calibri"/>
        </w:rPr>
        <w:t>vary,</w:t>
      </w:r>
      <w:r w:rsidRPr="27648FBD" w:rsidR="009566CD">
        <w:rPr>
          <w:rFonts w:ascii="Calibri" w:hAnsi="Calibri" w:cs="Calibri"/>
        </w:rPr>
        <w:t xml:space="preserve"> and some are in the negative based </w:t>
      </w:r>
      <w:r w:rsidRPr="27648FBD" w:rsidR="009566CD">
        <w:rPr>
          <w:rFonts w:ascii="Calibri" w:hAnsi="Calibri" w:cs="Calibri"/>
        </w:rPr>
        <w:t>off</w:t>
      </w:r>
      <w:r w:rsidRPr="27648FBD" w:rsidR="009566CD">
        <w:rPr>
          <w:rFonts w:ascii="Calibri" w:hAnsi="Calibri" w:cs="Calibri"/>
        </w:rPr>
        <w:t xml:space="preserve"> CHIA data. She will send Julianna and members CHIA data</w:t>
      </w:r>
      <w:r w:rsidRPr="27648FBD" w:rsidR="009566CD">
        <w:rPr>
          <w:rFonts w:ascii="Calibri" w:hAnsi="Calibri" w:cs="Calibri"/>
        </w:rPr>
        <w:t xml:space="preserve">.  </w:t>
      </w:r>
    </w:p>
    <w:p w:rsidR="002F1688" w:rsidRDefault="009566CD" w14:paraId="11DE77AE" w14:textId="77777777">
      <w:pPr>
        <w:rPr>
          <w:rFonts w:ascii="Calibri" w:hAnsi="Calibri" w:cs="Calibri"/>
        </w:rPr>
      </w:pPr>
      <w:r>
        <w:rPr>
          <w:rFonts w:ascii="Calibri" w:hAnsi="Calibri" w:cs="Calibri"/>
        </w:rPr>
        <w:t xml:space="preserve">Julianna Fernandez explained “financially robust” came from an earlier presentation given by Keith Robertson from Ziegler. She noted that staff changes may have led to her not receiving the CHIA data that Tara originally sent. She also clarified that the data currently in the presentation came from CARF International and is most likely national data, rather than Massachusetts specifically. She stated that she will look over the data Tara is going to send and </w:t>
      </w:r>
      <w:proofErr w:type="gramStart"/>
      <w:r>
        <w:rPr>
          <w:rFonts w:ascii="Calibri" w:hAnsi="Calibri" w:cs="Calibri"/>
        </w:rPr>
        <w:t>make adjustments</w:t>
      </w:r>
      <w:proofErr w:type="gramEnd"/>
      <w:r>
        <w:rPr>
          <w:rFonts w:ascii="Calibri" w:hAnsi="Calibri" w:cs="Calibri"/>
        </w:rPr>
        <w:t xml:space="preserve"> accordingly. </w:t>
      </w:r>
    </w:p>
    <w:p w:rsidR="002F1688" w:rsidRDefault="009566CD" w14:paraId="11DE77AF" w14:textId="77777777">
      <w:pPr>
        <w:rPr>
          <w:rFonts w:ascii="Calibri" w:hAnsi="Calibri" w:cs="Calibri"/>
          <w:b/>
          <w:bCs/>
        </w:rPr>
      </w:pPr>
      <w:r>
        <w:rPr>
          <w:rFonts w:ascii="Calibri" w:hAnsi="Calibri" w:cs="Calibri"/>
          <w:b/>
          <w:bCs/>
        </w:rPr>
        <w:t>Charge 3 Findings: The Commission shall study and report on the payment and return of entrance fees at CCRCs</w:t>
      </w:r>
    </w:p>
    <w:p w:rsidR="002F1688" w:rsidRDefault="009566CD" w14:paraId="11DE77B0" w14:textId="77777777">
      <w:pPr>
        <w:rPr>
          <w:rFonts w:ascii="Calibri" w:hAnsi="Calibri" w:cs="Calibri"/>
        </w:rPr>
      </w:pPr>
      <w:r>
        <w:rPr>
          <w:rFonts w:ascii="Calibri" w:hAnsi="Calibri" w:cs="Calibri"/>
        </w:rPr>
        <w:t xml:space="preserve">John Ford noted that non-profit vs </w:t>
      </w:r>
      <w:r>
        <w:rPr>
          <w:rFonts w:ascii="Calibri" w:hAnsi="Calibri" w:cs="Calibri"/>
        </w:rPr>
        <w:t xml:space="preserve">for-profit CCRCs are different. In for-profit CCRCs, entrance and monthly fees pay dividends to stockholders and are not required to submit 990s. He also noted that CHIA data does include numbers on CCRCs. </w:t>
      </w:r>
    </w:p>
    <w:p w:rsidR="002F1688" w:rsidRDefault="009566CD" w14:paraId="11DE77B1" w14:textId="77777777">
      <w:pPr>
        <w:rPr>
          <w:rFonts w:ascii="Calibri" w:hAnsi="Calibri" w:cs="Calibri"/>
        </w:rPr>
      </w:pPr>
      <w:r>
        <w:rPr>
          <w:rFonts w:ascii="Calibri" w:hAnsi="Calibri" w:cs="Calibri"/>
        </w:rPr>
        <w:t xml:space="preserve">Sen. </w:t>
      </w:r>
      <w:proofErr w:type="spellStart"/>
      <w:r>
        <w:rPr>
          <w:rFonts w:ascii="Calibri" w:hAnsi="Calibri" w:cs="Calibri"/>
        </w:rPr>
        <w:t>Jehlen</w:t>
      </w:r>
      <w:proofErr w:type="spellEnd"/>
      <w:r>
        <w:rPr>
          <w:rFonts w:ascii="Calibri" w:hAnsi="Calibri" w:cs="Calibri"/>
        </w:rPr>
        <w:t xml:space="preserve"> stated she was under the impression that the entrance fee was only used for capital and not operational costs or services. </w:t>
      </w:r>
    </w:p>
    <w:p w:rsidR="002F1688" w:rsidRDefault="009566CD" w14:paraId="11DE77B2" w14:textId="77777777">
      <w:pPr>
        <w:rPr>
          <w:rFonts w:ascii="Calibri" w:hAnsi="Calibri" w:cs="Calibri"/>
        </w:rPr>
      </w:pPr>
      <w:r>
        <w:rPr>
          <w:rFonts w:ascii="Calibri" w:hAnsi="Calibri" w:cs="Calibri"/>
        </w:rPr>
        <w:t>Jean Stringham suggested changing language on slide 29 from “CCRC providers argue” to “some CCRC providers argue. Additionally, she suggested changing “re-rented” to “reoccupied” on the same slide.</w:t>
      </w:r>
    </w:p>
    <w:p w:rsidR="002F1688" w:rsidRDefault="009566CD" w14:paraId="11DE77B3" w14:textId="77777777">
      <w:pPr>
        <w:rPr>
          <w:rFonts w:ascii="Calibri" w:hAnsi="Calibri" w:cs="Calibri"/>
        </w:rPr>
      </w:pPr>
      <w:r>
        <w:rPr>
          <w:rFonts w:ascii="Calibri" w:hAnsi="Calibri" w:cs="Calibri"/>
        </w:rPr>
        <w:t xml:space="preserve">Jim Freehling noted that LeadingAge agrees with this point. </w:t>
      </w:r>
    </w:p>
    <w:p w:rsidR="002F1688" w:rsidRDefault="009566CD" w14:paraId="11DE77B4" w14:textId="06EC7289">
      <w:pPr>
        <w:rPr>
          <w:rFonts w:ascii="Calibri" w:hAnsi="Calibri" w:cs="Calibri"/>
        </w:rPr>
      </w:pPr>
      <w:r w:rsidRPr="27648FBD" w:rsidR="009566CD">
        <w:rPr>
          <w:rFonts w:ascii="Calibri" w:hAnsi="Calibri" w:cs="Calibri"/>
        </w:rPr>
        <w:t xml:space="preserve">There was no dissent to this </w:t>
      </w:r>
      <w:r w:rsidRPr="27648FBD" w:rsidR="54B99FB5">
        <w:rPr>
          <w:rFonts w:ascii="Calibri" w:hAnsi="Calibri" w:cs="Calibri"/>
        </w:rPr>
        <w:t>change,</w:t>
      </w:r>
      <w:r w:rsidRPr="27648FBD" w:rsidR="009566CD">
        <w:rPr>
          <w:rFonts w:ascii="Calibri" w:hAnsi="Calibri" w:cs="Calibri"/>
        </w:rPr>
        <w:t xml:space="preserve"> and it will be incorporated in the final report. </w:t>
      </w:r>
    </w:p>
    <w:p w:rsidR="002F1688" w:rsidRDefault="009566CD" w14:paraId="11DE77B5" w14:textId="77777777">
      <w:pPr>
        <w:rPr>
          <w:rFonts w:ascii="Calibri" w:hAnsi="Calibri" w:cs="Calibri"/>
          <w:b/>
          <w:bCs/>
        </w:rPr>
      </w:pPr>
      <w:r>
        <w:rPr>
          <w:rFonts w:ascii="Calibri" w:hAnsi="Calibri" w:cs="Calibri"/>
          <w:b/>
          <w:bCs/>
        </w:rPr>
        <w:t xml:space="preserve">Charge 4 Findings: The Commission shall study and report on statutory and regulatory oversight of CCRCs, including any activities by state agencies to enforce regulatory requirements. </w:t>
      </w:r>
    </w:p>
    <w:p w:rsidR="002F1688" w:rsidRDefault="009566CD" w14:paraId="11DE77B6" w14:textId="6BA4871C">
      <w:pPr>
        <w:rPr>
          <w:rFonts w:ascii="Calibri" w:hAnsi="Calibri" w:cs="Calibri"/>
        </w:rPr>
      </w:pPr>
      <w:r w:rsidRPr="3F32491B" w:rsidR="009566CD">
        <w:rPr>
          <w:rFonts w:ascii="Calibri" w:hAnsi="Calibri" w:cs="Calibri"/>
        </w:rPr>
        <w:t xml:space="preserve">John Ford </w:t>
      </w:r>
      <w:r w:rsidRPr="3F32491B" w:rsidR="009566CD">
        <w:rPr>
          <w:rFonts w:ascii="Calibri" w:hAnsi="Calibri" w:cs="Calibri"/>
        </w:rPr>
        <w:t>stated</w:t>
      </w:r>
      <w:r w:rsidRPr="3F32491B" w:rsidR="009566CD">
        <w:rPr>
          <w:rFonts w:ascii="Calibri" w:hAnsi="Calibri" w:cs="Calibri"/>
        </w:rPr>
        <w:t xml:space="preserve"> that many CCRCs will advertise “</w:t>
      </w:r>
      <w:r w:rsidRPr="3F32491B" w:rsidR="5CDE908B">
        <w:rPr>
          <w:rFonts w:ascii="Calibri" w:hAnsi="Calibri" w:cs="Calibri"/>
        </w:rPr>
        <w:t xml:space="preserve">supportive </w:t>
      </w:r>
      <w:r w:rsidRPr="3F32491B" w:rsidR="009566CD">
        <w:rPr>
          <w:rFonts w:ascii="Calibri" w:hAnsi="Calibri" w:cs="Calibri"/>
        </w:rPr>
        <w:t xml:space="preserve">care” rather than “assisted living” </w:t>
      </w:r>
      <w:r w:rsidRPr="3F32491B" w:rsidR="009566CD">
        <w:rPr>
          <w:rFonts w:ascii="Calibri" w:hAnsi="Calibri" w:cs="Calibri"/>
        </w:rPr>
        <w:t>in order to</w:t>
      </w:r>
      <w:r w:rsidRPr="3F32491B" w:rsidR="009566CD">
        <w:rPr>
          <w:rFonts w:ascii="Calibri" w:hAnsi="Calibri" w:cs="Calibri"/>
        </w:rPr>
        <w:t xml:space="preserve"> bypass AGE regulations/oversight. He inquired </w:t>
      </w:r>
      <w:r w:rsidRPr="3F32491B" w:rsidR="009566CD">
        <w:rPr>
          <w:rFonts w:ascii="Calibri" w:hAnsi="Calibri" w:cs="Calibri"/>
        </w:rPr>
        <w:t>to</w:t>
      </w:r>
      <w:r w:rsidRPr="3F32491B" w:rsidR="009566CD">
        <w:rPr>
          <w:rFonts w:ascii="Calibri" w:hAnsi="Calibri" w:cs="Calibri"/>
        </w:rPr>
        <w:t xml:space="preserve"> the AGO if any CCRCs have been charged with deceptive or unfair business practices.</w:t>
      </w:r>
    </w:p>
    <w:p w:rsidR="002F1688" w:rsidRDefault="009566CD" w14:paraId="11DE77B7" w14:textId="77777777">
      <w:pPr>
        <w:rPr>
          <w:rFonts w:ascii="Calibri" w:hAnsi="Calibri" w:cs="Calibri"/>
        </w:rPr>
      </w:pPr>
      <w:r>
        <w:rPr>
          <w:rFonts w:ascii="Calibri" w:hAnsi="Calibri" w:cs="Calibri"/>
        </w:rPr>
        <w:t xml:space="preserve">Valerie Frias stated she is unsure and does not have the information at this time. She reminded the Commission that the AGO has general authority over 93A but does not have specific authority over CCRCs. </w:t>
      </w:r>
    </w:p>
    <w:p w:rsidR="002F1688" w:rsidRDefault="009566CD" w14:paraId="11DE77B8" w14:textId="77777777">
      <w:pPr>
        <w:rPr>
          <w:rFonts w:ascii="Calibri" w:hAnsi="Calibri" w:cs="Calibri"/>
        </w:rPr>
      </w:pPr>
      <w:r>
        <w:rPr>
          <w:rFonts w:ascii="Calibri" w:hAnsi="Calibri" w:cs="Calibri"/>
        </w:rPr>
        <w:t>Tara Gregorio mentioned that the Medicaid Fraud unit does have authority over some CCRCs that accept Medicaid payments if fraud/deception reaches a certain threshold.</w:t>
      </w:r>
    </w:p>
    <w:p w:rsidR="002F1688" w:rsidRDefault="009566CD" w14:paraId="11DE77B9" w14:textId="77777777">
      <w:pPr>
        <w:rPr>
          <w:rFonts w:ascii="Calibri" w:hAnsi="Calibri" w:cs="Calibri"/>
        </w:rPr>
      </w:pPr>
      <w:r>
        <w:rPr>
          <w:rFonts w:ascii="Calibri" w:hAnsi="Calibri" w:cs="Calibri"/>
        </w:rPr>
        <w:lastRenderedPageBreak/>
        <w:t xml:space="preserve">John Ford stated his objection to the presentation’s insinuation that the AGO has </w:t>
      </w:r>
      <w:proofErr w:type="gramStart"/>
      <w:r>
        <w:rPr>
          <w:rFonts w:ascii="Calibri" w:hAnsi="Calibri" w:cs="Calibri"/>
        </w:rPr>
        <w:t>any</w:t>
      </w:r>
      <w:proofErr w:type="gramEnd"/>
      <w:r>
        <w:rPr>
          <w:rFonts w:ascii="Calibri" w:hAnsi="Calibri" w:cs="Calibri"/>
        </w:rPr>
        <w:t xml:space="preserve"> authority over CCRCs. </w:t>
      </w:r>
    </w:p>
    <w:p w:rsidR="002F1688" w:rsidRDefault="009566CD" w14:paraId="11DE77BA" w14:textId="77777777">
      <w:pPr>
        <w:rPr>
          <w:rFonts w:ascii="Calibri" w:hAnsi="Calibri" w:cs="Calibri"/>
        </w:rPr>
      </w:pPr>
      <w:r>
        <w:rPr>
          <w:rFonts w:ascii="Calibri" w:hAnsi="Calibri" w:cs="Calibri"/>
        </w:rPr>
        <w:t>Valerie Frias clarified that it is accurate that the AGO does not get involved in individual claims but rather patterns of unfairness and deceptiveness. She noted that the AGO technically does have authority but does not generally use it in individual claims.</w:t>
      </w:r>
    </w:p>
    <w:p w:rsidR="002F1688" w:rsidRDefault="009566CD" w14:paraId="11DE77BB" w14:textId="77777777">
      <w:pPr>
        <w:rPr>
          <w:rFonts w:ascii="Calibri" w:hAnsi="Calibri" w:cs="Calibri"/>
        </w:rPr>
      </w:pPr>
      <w:r>
        <w:rPr>
          <w:rFonts w:ascii="Calibri" w:hAnsi="Calibri" w:cs="Calibri"/>
        </w:rPr>
        <w:t xml:space="preserve">Julianna Fernandez stated that the final report will remove the AGO from slide 33 discussing regulatory bodies and insert a new slide describing the nuances of the AGO’s oversight of CCRCs. </w:t>
      </w:r>
    </w:p>
    <w:p w:rsidR="002F1688" w:rsidRDefault="009566CD" w14:paraId="11DE77BC" w14:textId="3F17AE6E">
      <w:pPr>
        <w:rPr>
          <w:rFonts w:ascii="Calibri" w:hAnsi="Calibri" w:cs="Calibri"/>
        </w:rPr>
      </w:pPr>
      <w:r w:rsidRPr="27648FBD" w:rsidR="009566CD">
        <w:rPr>
          <w:rFonts w:ascii="Calibri" w:hAnsi="Calibri" w:cs="Calibri"/>
        </w:rPr>
        <w:t xml:space="preserve">There was no dissent to this </w:t>
      </w:r>
      <w:r w:rsidRPr="27648FBD" w:rsidR="7F10B658">
        <w:rPr>
          <w:rFonts w:ascii="Calibri" w:hAnsi="Calibri" w:cs="Calibri"/>
        </w:rPr>
        <w:t>suggestion,</w:t>
      </w:r>
      <w:r w:rsidRPr="27648FBD" w:rsidR="009566CD">
        <w:rPr>
          <w:rFonts w:ascii="Calibri" w:hAnsi="Calibri" w:cs="Calibri"/>
        </w:rPr>
        <w:t xml:space="preserve"> and it will be incorporated in the final report. </w:t>
      </w:r>
    </w:p>
    <w:p w:rsidR="002F1688" w:rsidRDefault="009566CD" w14:paraId="11DE77BD" w14:textId="77777777">
      <w:pPr>
        <w:rPr>
          <w:rFonts w:ascii="Calibri" w:hAnsi="Calibri" w:cs="Calibri"/>
          <w:b/>
          <w:bCs/>
        </w:rPr>
      </w:pPr>
      <w:r>
        <w:rPr>
          <w:rFonts w:ascii="Calibri" w:hAnsi="Calibri" w:cs="Calibri"/>
          <w:b/>
          <w:bCs/>
        </w:rPr>
        <w:t xml:space="preserve">Charge 5 Findings: The Commission shall study and report on advertising practices communicated to potential residents and families about CCRCs. </w:t>
      </w:r>
    </w:p>
    <w:p w:rsidR="002F1688" w:rsidRDefault="009566CD" w14:paraId="11DE77BE" w14:textId="7B88D992">
      <w:pPr>
        <w:rPr>
          <w:rFonts w:ascii="Calibri" w:hAnsi="Calibri" w:cs="Calibri"/>
        </w:rPr>
      </w:pPr>
      <w:r w:rsidRPr="3F32491B" w:rsidR="009566CD">
        <w:rPr>
          <w:rFonts w:ascii="Calibri" w:hAnsi="Calibri" w:cs="Calibri"/>
        </w:rPr>
        <w:t>John Ford reiterated the concern that CCRCs will advertise “</w:t>
      </w:r>
      <w:r w:rsidRPr="3F32491B" w:rsidR="4B06920B">
        <w:rPr>
          <w:rFonts w:ascii="Calibri" w:hAnsi="Calibri" w:cs="Calibri"/>
        </w:rPr>
        <w:t xml:space="preserve">supportive </w:t>
      </w:r>
      <w:r w:rsidRPr="3F32491B" w:rsidR="009566CD">
        <w:rPr>
          <w:rFonts w:ascii="Calibri" w:hAnsi="Calibri" w:cs="Calibri"/>
        </w:rPr>
        <w:t xml:space="preserve">care” rather than “assisted living” </w:t>
      </w:r>
      <w:r w:rsidRPr="3F32491B" w:rsidR="009566CD">
        <w:rPr>
          <w:rFonts w:ascii="Calibri" w:hAnsi="Calibri" w:cs="Calibri"/>
        </w:rPr>
        <w:t>in order to</w:t>
      </w:r>
      <w:r w:rsidRPr="3F32491B" w:rsidR="009566CD">
        <w:rPr>
          <w:rFonts w:ascii="Calibri" w:hAnsi="Calibri" w:cs="Calibri"/>
        </w:rPr>
        <w:t xml:space="preserve"> bypass AGE regulations/oversight. </w:t>
      </w:r>
    </w:p>
    <w:p w:rsidR="002F1688" w:rsidRDefault="009566CD" w14:paraId="11DE77BF" w14:textId="77777777">
      <w:pPr>
        <w:rPr>
          <w:rFonts w:ascii="Calibri" w:hAnsi="Calibri" w:cs="Calibri"/>
        </w:rPr>
      </w:pPr>
      <w:r w:rsidRPr="3F32491B" w:rsidR="009566CD">
        <w:rPr>
          <w:rFonts w:ascii="Calibri" w:hAnsi="Calibri" w:cs="Calibri"/>
        </w:rPr>
        <w:t xml:space="preserve">Julianna Fernandez </w:t>
      </w:r>
      <w:r w:rsidRPr="3F32491B" w:rsidR="009566CD">
        <w:rPr>
          <w:rFonts w:ascii="Calibri" w:hAnsi="Calibri" w:cs="Calibri"/>
        </w:rPr>
        <w:t>stated</w:t>
      </w:r>
      <w:r w:rsidRPr="3F32491B" w:rsidR="009566CD">
        <w:rPr>
          <w:rFonts w:ascii="Calibri" w:hAnsi="Calibri" w:cs="Calibri"/>
        </w:rPr>
        <w:t xml:space="preserve"> this will be addressed in recommendations. </w:t>
      </w:r>
    </w:p>
    <w:p w:rsidR="22FA48C8" w:rsidP="3F32491B" w:rsidRDefault="22FA48C8" w14:paraId="35FF6EDD" w14:textId="603BFA1F">
      <w:pPr>
        <w:pStyle w:val="Normal"/>
        <w:rPr>
          <w:rFonts w:ascii="Calibri" w:hAnsi="Calibri" w:cs="Calibri"/>
        </w:rPr>
      </w:pPr>
      <w:r w:rsidRPr="3F32491B" w:rsidR="22FA48C8">
        <w:rPr>
          <w:rFonts w:ascii="Calibri" w:hAnsi="Calibri" w:cs="Calibri"/>
        </w:rPr>
        <w:t xml:space="preserve">Jean Stringham commented that a CCRC was not on the AGE list and was glad the commission </w:t>
      </w:r>
      <w:r w:rsidRPr="3F32491B" w:rsidR="22FA48C8">
        <w:rPr>
          <w:rFonts w:ascii="Calibri" w:hAnsi="Calibri" w:cs="Calibri"/>
        </w:rPr>
        <w:t>looked into</w:t>
      </w:r>
      <w:r w:rsidRPr="3F32491B" w:rsidR="22FA48C8">
        <w:rPr>
          <w:rFonts w:ascii="Calibri" w:hAnsi="Calibri" w:cs="Calibri"/>
        </w:rPr>
        <w:t xml:space="preserve"> this</w:t>
      </w:r>
    </w:p>
    <w:p w:rsidR="002F1688" w:rsidRDefault="009566CD" w14:paraId="11DE77C0" w14:textId="77777777">
      <w:pPr>
        <w:rPr>
          <w:rFonts w:ascii="Calibri" w:hAnsi="Calibri" w:cs="Calibri"/>
        </w:rPr>
      </w:pPr>
      <w:r>
        <w:rPr>
          <w:rFonts w:ascii="Calibri" w:hAnsi="Calibri" w:cs="Calibri"/>
        </w:rPr>
        <w:t xml:space="preserve">There was no further dissent to findings for charge 5. </w:t>
      </w:r>
    </w:p>
    <w:p w:rsidR="002F1688" w:rsidRDefault="009566CD" w14:paraId="11DE77C1" w14:textId="77777777">
      <w:pPr>
        <w:rPr>
          <w:rFonts w:ascii="Calibri" w:hAnsi="Calibri" w:cs="Calibri"/>
          <w:b/>
          <w:bCs/>
        </w:rPr>
      </w:pPr>
      <w:r>
        <w:rPr>
          <w:rFonts w:ascii="Calibri" w:hAnsi="Calibri" w:cs="Calibri"/>
          <w:b/>
          <w:bCs/>
        </w:rPr>
        <w:t xml:space="preserve">Charge 6: The Commission shall study and report on regulatory procedures for the closure or change of ownership of CCRCs. </w:t>
      </w:r>
    </w:p>
    <w:p w:rsidR="002F1688" w:rsidRDefault="009566CD" w14:paraId="11DE77C2" w14:textId="77777777">
      <w:pPr>
        <w:rPr>
          <w:rFonts w:ascii="Calibri" w:hAnsi="Calibri" w:cs="Calibri"/>
        </w:rPr>
      </w:pPr>
      <w:r>
        <w:rPr>
          <w:rFonts w:ascii="Calibri" w:hAnsi="Calibri" w:cs="Calibri"/>
        </w:rPr>
        <w:t xml:space="preserve">Members suggested that </w:t>
      </w:r>
      <w:proofErr w:type="gramStart"/>
      <w:r>
        <w:rPr>
          <w:rFonts w:ascii="Calibri" w:hAnsi="Calibri" w:cs="Calibri"/>
        </w:rPr>
        <w:t>similar to</w:t>
      </w:r>
      <w:proofErr w:type="gramEnd"/>
      <w:r>
        <w:rPr>
          <w:rFonts w:ascii="Calibri" w:hAnsi="Calibri" w:cs="Calibri"/>
        </w:rPr>
        <w:t xml:space="preserve"> how DPH is notified of a change of ownership for nursing facilities, AGE should be notified of change of ownership of CCRCs. </w:t>
      </w:r>
    </w:p>
    <w:p w:rsidR="002F1688" w:rsidRDefault="009566CD" w14:paraId="11DE77C3" w14:textId="77777777">
      <w:pPr>
        <w:rPr>
          <w:rFonts w:ascii="Calibri" w:hAnsi="Calibri" w:cs="Calibri"/>
        </w:rPr>
      </w:pPr>
      <w:r>
        <w:rPr>
          <w:rFonts w:ascii="Calibri" w:hAnsi="Calibri" w:cs="Calibri"/>
        </w:rPr>
        <w:t xml:space="preserve">There was no further dissent or changes to this charge. </w:t>
      </w:r>
    </w:p>
    <w:p w:rsidR="002F1688" w:rsidRDefault="009566CD" w14:paraId="11DE77C4" w14:textId="77777777">
      <w:pPr>
        <w:rPr>
          <w:rFonts w:ascii="Calibri" w:hAnsi="Calibri" w:cs="Calibri"/>
          <w:b/>
          <w:bCs/>
        </w:rPr>
      </w:pPr>
      <w:r>
        <w:rPr>
          <w:rFonts w:ascii="Calibri" w:hAnsi="Calibri" w:cs="Calibri"/>
          <w:b/>
          <w:bCs/>
        </w:rPr>
        <w:t>Recommendations</w:t>
      </w:r>
    </w:p>
    <w:p w:rsidR="002F1688" w:rsidRDefault="009566CD" w14:paraId="11DE77C5" w14:textId="77777777">
      <w:pPr>
        <w:rPr>
          <w:rFonts w:ascii="Calibri" w:hAnsi="Calibri" w:cs="Calibri"/>
          <w:b/>
          <w:bCs/>
        </w:rPr>
      </w:pPr>
      <w:r>
        <w:rPr>
          <w:rFonts w:ascii="Calibri" w:hAnsi="Calibri" w:cs="Calibri"/>
          <w:b/>
          <w:bCs/>
        </w:rPr>
        <w:t>Recommendation 1: Pass the disclosure bill, S.478</w:t>
      </w:r>
    </w:p>
    <w:p w:rsidR="002F1688" w:rsidRDefault="009566CD" w14:paraId="11DE77C6" w14:textId="77777777">
      <w:pPr>
        <w:rPr>
          <w:rFonts w:ascii="Calibri" w:hAnsi="Calibri" w:cs="Calibri"/>
        </w:rPr>
      </w:pPr>
      <w:r>
        <w:rPr>
          <w:rFonts w:ascii="Calibri" w:hAnsi="Calibri" w:cs="Calibri"/>
        </w:rPr>
        <w:t xml:space="preserve">Sec. Lipson stated she is neutral on any proposed legislation, as she is not permitted to </w:t>
      </w:r>
      <w:proofErr w:type="gramStart"/>
      <w:r>
        <w:rPr>
          <w:rFonts w:ascii="Calibri" w:hAnsi="Calibri" w:cs="Calibri"/>
        </w:rPr>
        <w:t>comment</w:t>
      </w:r>
      <w:proofErr w:type="gramEnd"/>
      <w:r>
        <w:rPr>
          <w:rFonts w:ascii="Calibri" w:hAnsi="Calibri" w:cs="Calibri"/>
        </w:rPr>
        <w:t xml:space="preserve"> or endorse any pending legislation.  </w:t>
      </w:r>
    </w:p>
    <w:p w:rsidR="002F1688" w:rsidRDefault="009566CD" w14:paraId="11DE77C7" w14:textId="77777777">
      <w:pPr>
        <w:rPr>
          <w:rFonts w:ascii="Calibri" w:hAnsi="Calibri" w:cs="Calibri"/>
        </w:rPr>
      </w:pPr>
      <w:r>
        <w:rPr>
          <w:rFonts w:ascii="Calibri" w:hAnsi="Calibri" w:cs="Calibri"/>
        </w:rPr>
        <w:t xml:space="preserve">Unanimous consent on this recommendation, and it will move forward. </w:t>
      </w:r>
    </w:p>
    <w:p w:rsidR="002F1688" w:rsidRDefault="009566CD" w14:paraId="11DE77C8" w14:textId="77777777">
      <w:pPr>
        <w:rPr>
          <w:rFonts w:ascii="Calibri" w:hAnsi="Calibri" w:cs="Calibri"/>
          <w:b/>
          <w:bCs/>
        </w:rPr>
      </w:pPr>
      <w:r>
        <w:rPr>
          <w:rFonts w:ascii="Calibri" w:hAnsi="Calibri" w:cs="Calibri"/>
          <w:b/>
          <w:bCs/>
        </w:rPr>
        <w:t>Recommendation 2: Update AGE consumer guide</w:t>
      </w:r>
    </w:p>
    <w:p w:rsidR="002F1688" w:rsidRDefault="009566CD" w14:paraId="11DE77C9" w14:textId="77777777">
      <w:pPr>
        <w:rPr>
          <w:rFonts w:ascii="Calibri" w:hAnsi="Calibri" w:cs="Calibri"/>
        </w:rPr>
      </w:pPr>
      <w:r>
        <w:rPr>
          <w:rFonts w:ascii="Calibri" w:hAnsi="Calibri" w:cs="Calibri"/>
        </w:rPr>
        <w:t xml:space="preserve">Dave VanArsdale suggested the guide should specify which CCRCs have certain services, such as assisted living or nursing facilities. </w:t>
      </w:r>
    </w:p>
    <w:p w:rsidR="002F1688" w:rsidRDefault="009566CD" w14:paraId="11DE77CA" w14:textId="77777777">
      <w:pPr>
        <w:rPr>
          <w:rFonts w:ascii="Calibri" w:hAnsi="Calibri" w:cs="Calibri"/>
        </w:rPr>
      </w:pPr>
      <w:r>
        <w:rPr>
          <w:rFonts w:ascii="Calibri" w:hAnsi="Calibri" w:cs="Calibri"/>
        </w:rPr>
        <w:t xml:space="preserve">Sec. Lipson stated that she would like to collaborate with LeadingAge MA and MLCRA to further identify what specifically should be in the guide and does not want to make a rushed decision </w:t>
      </w:r>
      <w:r>
        <w:rPr>
          <w:rFonts w:ascii="Calibri" w:hAnsi="Calibri" w:cs="Calibri"/>
        </w:rPr>
        <w:lastRenderedPageBreak/>
        <w:t xml:space="preserve">by the Commission’s deadline. She also suggested a language change on slide 48 of “give guide” to “provide guide” as AGE will not be printing guides out. </w:t>
      </w:r>
    </w:p>
    <w:p w:rsidR="002F1688" w:rsidRDefault="009566CD" w14:paraId="11DE77CB" w14:textId="77777777">
      <w:pPr>
        <w:rPr>
          <w:rFonts w:ascii="Calibri" w:hAnsi="Calibri" w:cs="Calibri"/>
        </w:rPr>
      </w:pPr>
      <w:r w:rsidRPr="3F32491B" w:rsidR="009566CD">
        <w:rPr>
          <w:rFonts w:ascii="Calibri" w:hAnsi="Calibri" w:cs="Calibri"/>
        </w:rPr>
        <w:t xml:space="preserve">John Ford suggested using California’s CCRC guide as a template. </w:t>
      </w:r>
    </w:p>
    <w:p w:rsidR="06064268" w:rsidP="3F32491B" w:rsidRDefault="06064268" w14:paraId="6D509CD1" w14:textId="2B4400E2">
      <w:pPr>
        <w:rPr>
          <w:rFonts w:ascii="Calibri" w:hAnsi="Calibri" w:cs="Calibri"/>
        </w:rPr>
      </w:pPr>
      <w:r w:rsidRPr="3F32491B" w:rsidR="06064268">
        <w:rPr>
          <w:rFonts w:ascii="Calibri" w:hAnsi="Calibri" w:cs="Calibri"/>
        </w:rPr>
        <w:t>Jim Freehling commented that a list of services is provided to prospective residents</w:t>
      </w:r>
      <w:r w:rsidRPr="3F32491B" w:rsidR="5CD768A8">
        <w:rPr>
          <w:rFonts w:ascii="Calibri" w:hAnsi="Calibri" w:cs="Calibri"/>
        </w:rPr>
        <w:t xml:space="preserve"> usually under the description of physical sites</w:t>
      </w:r>
    </w:p>
    <w:p w:rsidR="002F1688" w:rsidRDefault="009566CD" w14:paraId="11DE77CC" w14:textId="77777777">
      <w:pPr>
        <w:rPr>
          <w:rFonts w:ascii="Calibri" w:hAnsi="Calibri" w:cs="Calibri"/>
        </w:rPr>
      </w:pPr>
      <w:r>
        <w:rPr>
          <w:rFonts w:ascii="Calibri" w:hAnsi="Calibri" w:cs="Calibri"/>
        </w:rPr>
        <w:t xml:space="preserve">Sec. Lipson noted that there is limited capacity at AGE to create an </w:t>
      </w:r>
      <w:r>
        <w:rPr>
          <w:rFonts w:ascii="Calibri" w:hAnsi="Calibri" w:cs="Calibri"/>
        </w:rPr>
        <w:t>extremely detailed and comprehensive guide. She again emphasized she would like to collaborate with LeadingAge MA and MLCRA to create a guide.</w:t>
      </w:r>
    </w:p>
    <w:p w:rsidR="002F1688" w:rsidRDefault="009566CD" w14:paraId="11DE77CD" w14:textId="77777777">
      <w:pPr>
        <w:rPr>
          <w:rFonts w:ascii="Calibri" w:hAnsi="Calibri" w:cs="Calibri"/>
        </w:rPr>
      </w:pPr>
      <w:r>
        <w:rPr>
          <w:rFonts w:ascii="Calibri" w:hAnsi="Calibri" w:cs="Calibri"/>
        </w:rPr>
        <w:t xml:space="preserve">Jim Freehling and Jean Stringham agreed to working with AGE on an updated guide.  </w:t>
      </w:r>
    </w:p>
    <w:p w:rsidR="002F1688" w:rsidRDefault="009566CD" w14:paraId="11DE77CE" w14:textId="77777777">
      <w:pPr>
        <w:rPr>
          <w:rFonts w:ascii="Calibri" w:hAnsi="Calibri" w:cs="Calibri"/>
        </w:rPr>
      </w:pPr>
      <w:r>
        <w:rPr>
          <w:rFonts w:ascii="Calibri" w:hAnsi="Calibri" w:cs="Calibri"/>
        </w:rPr>
        <w:t xml:space="preserve">Jessica Constantino and </w:t>
      </w:r>
      <w:r>
        <w:rPr>
          <w:rFonts w:ascii="Calibri" w:hAnsi="Calibri" w:cs="Calibri"/>
        </w:rPr>
        <w:t>Tara Gregorio stated that they would also like their organizations to collaborate on the guide.</w:t>
      </w:r>
    </w:p>
    <w:p w:rsidR="002F1688" w:rsidRDefault="009566CD" w14:paraId="11DE77CF" w14:textId="77777777">
      <w:pPr>
        <w:rPr>
          <w:rFonts w:ascii="Calibri" w:hAnsi="Calibri" w:cs="Calibri"/>
        </w:rPr>
      </w:pPr>
      <w:r>
        <w:rPr>
          <w:rFonts w:ascii="Calibri" w:hAnsi="Calibri" w:cs="Calibri"/>
        </w:rPr>
        <w:t xml:space="preserve">Sec. Lipson suggested that AGE collaborate with LeadingAge MA and MLCRA, and then take contributions from AARP and Mass Senior Care Association, Inc. </w:t>
      </w:r>
    </w:p>
    <w:p w:rsidR="002F1688" w:rsidRDefault="009566CD" w14:paraId="11DE77D0" w14:textId="77777777">
      <w:pPr>
        <w:rPr>
          <w:rFonts w:ascii="Calibri" w:hAnsi="Calibri" w:cs="Calibri"/>
        </w:rPr>
      </w:pPr>
      <w:r>
        <w:rPr>
          <w:rFonts w:ascii="Calibri" w:hAnsi="Calibri" w:cs="Calibri"/>
        </w:rPr>
        <w:t xml:space="preserve">Jessica Constantino stated that she would like AARP to have a seat at the table for collaboration and not simply be a contributor.  </w:t>
      </w:r>
    </w:p>
    <w:p w:rsidR="002F1688" w:rsidRDefault="009566CD" w14:paraId="11DE77D1" w14:textId="77777777">
      <w:pPr>
        <w:rPr>
          <w:rFonts w:ascii="Calibri" w:hAnsi="Calibri" w:cs="Calibri"/>
        </w:rPr>
      </w:pPr>
      <w:r>
        <w:rPr>
          <w:rFonts w:ascii="Calibri" w:hAnsi="Calibri" w:cs="Calibri"/>
        </w:rPr>
        <w:t xml:space="preserve">Sec. Lipson noted that she will be working with a web designer and there is difficulty in that person working with 5 other people but is open to collaboration. </w:t>
      </w:r>
    </w:p>
    <w:p w:rsidR="002F1688" w:rsidRDefault="009566CD" w14:paraId="11DE77D2" w14:textId="77777777">
      <w:pPr>
        <w:rPr>
          <w:rFonts w:ascii="Calibri" w:hAnsi="Calibri" w:cs="Calibri"/>
        </w:rPr>
      </w:pPr>
      <w:r>
        <w:rPr>
          <w:rFonts w:ascii="Calibri" w:hAnsi="Calibri" w:cs="Calibri"/>
        </w:rPr>
        <w:t xml:space="preserve">The new recommendation will be for AGE to work with LeadingAge MA and MLCRA to update and develop a new consumer guide. There was no dissent to this recommendation. </w:t>
      </w:r>
    </w:p>
    <w:p w:rsidR="002F1688" w:rsidRDefault="009566CD" w14:paraId="11DE77D3" w14:textId="77777777">
      <w:pPr>
        <w:rPr>
          <w:rFonts w:ascii="Calibri" w:hAnsi="Calibri" w:cs="Calibri"/>
          <w:b/>
          <w:bCs/>
        </w:rPr>
      </w:pPr>
      <w:r>
        <w:rPr>
          <w:rFonts w:ascii="Calibri" w:hAnsi="Calibri" w:cs="Calibri"/>
          <w:b/>
          <w:bCs/>
        </w:rPr>
        <w:t>Other Recommendations Considered</w:t>
      </w:r>
    </w:p>
    <w:p w:rsidR="002F1688" w:rsidRDefault="009566CD" w14:paraId="11DE77D4" w14:textId="77777777">
      <w:pPr>
        <w:rPr>
          <w:rFonts w:ascii="Calibri" w:hAnsi="Calibri" w:cs="Calibri"/>
          <w:b/>
          <w:bCs/>
        </w:rPr>
      </w:pPr>
      <w:r>
        <w:rPr>
          <w:rFonts w:ascii="Calibri" w:hAnsi="Calibri" w:cs="Calibri"/>
          <w:b/>
          <w:bCs/>
        </w:rPr>
        <w:t xml:space="preserve">Each CCRC’s board </w:t>
      </w:r>
      <w:proofErr w:type="gramStart"/>
      <w:r>
        <w:rPr>
          <w:rFonts w:ascii="Calibri" w:hAnsi="Calibri" w:cs="Calibri"/>
          <w:b/>
          <w:bCs/>
        </w:rPr>
        <w:t>have</w:t>
      </w:r>
      <w:proofErr w:type="gramEnd"/>
      <w:r>
        <w:rPr>
          <w:rFonts w:ascii="Calibri" w:hAnsi="Calibri" w:cs="Calibri"/>
          <w:b/>
          <w:bCs/>
        </w:rPr>
        <w:t xml:space="preserve"> a resident member, who may be a voting or non-voting member; the resident board member would be chosen by the residents of each CCRC</w:t>
      </w:r>
    </w:p>
    <w:p w:rsidR="002F1688" w:rsidRDefault="009566CD" w14:paraId="11DE77D5" w14:textId="77777777">
      <w:pPr>
        <w:rPr>
          <w:rFonts w:ascii="Calibri" w:hAnsi="Calibri" w:cs="Calibri"/>
        </w:rPr>
      </w:pPr>
      <w:r w:rsidRPr="3F32491B" w:rsidR="009566CD">
        <w:rPr>
          <w:rFonts w:ascii="Calibri" w:hAnsi="Calibri" w:cs="Calibri"/>
        </w:rPr>
        <w:t xml:space="preserve">Jean Stringham objected to CCRCs being allowed to have a non-voting member of the board rather than being required to have a voting resident member. She </w:t>
      </w:r>
      <w:r w:rsidRPr="3F32491B" w:rsidR="009566CD">
        <w:rPr>
          <w:rFonts w:ascii="Calibri" w:hAnsi="Calibri" w:cs="Calibri"/>
        </w:rPr>
        <w:t>stated</w:t>
      </w:r>
      <w:r w:rsidRPr="3F32491B" w:rsidR="009566CD">
        <w:rPr>
          <w:rFonts w:ascii="Calibri" w:hAnsi="Calibri" w:cs="Calibri"/>
        </w:rPr>
        <w:t xml:space="preserve"> that this defeats the purpose of having a resident board member if they are unable to vote. </w:t>
      </w:r>
    </w:p>
    <w:p w:rsidR="684BBCFC" w:rsidP="3F32491B" w:rsidRDefault="684BBCFC" w14:paraId="73809BC8" w14:textId="0A4F1F3F">
      <w:pPr>
        <w:rPr>
          <w:rFonts w:ascii="Calibri" w:hAnsi="Calibri" w:cs="Calibri"/>
        </w:rPr>
      </w:pPr>
      <w:r w:rsidRPr="3F32491B" w:rsidR="684BBCFC">
        <w:rPr>
          <w:rFonts w:ascii="Calibri" w:hAnsi="Calibri" w:cs="Calibri"/>
        </w:rPr>
        <w:t>Sen. Jehlen responded that this was intended to be a compromise</w:t>
      </w:r>
    </w:p>
    <w:p w:rsidR="002F1688" w:rsidRDefault="009566CD" w14:paraId="11DE77D6" w14:textId="5FC4256B">
      <w:pPr>
        <w:rPr>
          <w:rFonts w:ascii="Calibri" w:hAnsi="Calibri" w:cs="Calibri"/>
        </w:rPr>
      </w:pPr>
      <w:r w:rsidRPr="7A3B247C" w:rsidR="009566CD">
        <w:rPr>
          <w:rFonts w:ascii="Calibri" w:hAnsi="Calibri" w:cs="Calibri"/>
        </w:rPr>
        <w:t xml:space="preserve">Jim Freehling stated that he does not like the idea of mandating that boards have a voting resident board member. He emphasized how each community is </w:t>
      </w:r>
      <w:r w:rsidRPr="7A3B247C" w:rsidR="3D1FDCBC">
        <w:rPr>
          <w:rFonts w:ascii="Calibri" w:hAnsi="Calibri" w:cs="Calibri"/>
        </w:rPr>
        <w:t>different,</w:t>
      </w:r>
      <w:r w:rsidRPr="7A3B247C" w:rsidR="009566CD">
        <w:rPr>
          <w:rFonts w:ascii="Calibri" w:hAnsi="Calibri" w:cs="Calibri"/>
        </w:rPr>
        <w:t xml:space="preserve"> and it is up to residents </w:t>
      </w:r>
      <w:r w:rsidRPr="7A3B247C" w:rsidR="009566CD">
        <w:rPr>
          <w:rFonts w:ascii="Calibri" w:hAnsi="Calibri" w:cs="Calibri"/>
        </w:rPr>
        <w:t>on</w:t>
      </w:r>
      <w:r w:rsidRPr="7A3B247C" w:rsidR="009566CD">
        <w:rPr>
          <w:rFonts w:ascii="Calibri" w:hAnsi="Calibri" w:cs="Calibri"/>
        </w:rPr>
        <w:t xml:space="preserve"> how they voice their opinions to their organizations. </w:t>
      </w:r>
    </w:p>
    <w:p w:rsidR="002F1688" w:rsidRDefault="009566CD" w14:paraId="11DE77D7" w14:textId="77777777">
      <w:pPr>
        <w:rPr>
          <w:rFonts w:ascii="Calibri" w:hAnsi="Calibri" w:cs="Calibri"/>
        </w:rPr>
      </w:pPr>
      <w:r>
        <w:rPr>
          <w:rFonts w:ascii="Calibri" w:hAnsi="Calibri" w:cs="Calibri"/>
        </w:rPr>
        <w:t xml:space="preserve">Christine Griffin inquired that if this is just a recommendation and not enacting legislation, why is it an issue to recommend a voting board member? </w:t>
      </w:r>
    </w:p>
    <w:p w:rsidR="002F1688" w:rsidRDefault="009566CD" w14:paraId="11DE77D8" w14:textId="3B807881">
      <w:pPr>
        <w:rPr>
          <w:rFonts w:ascii="Calibri" w:hAnsi="Calibri" w:cs="Calibri"/>
        </w:rPr>
      </w:pPr>
      <w:r w:rsidRPr="7A3B247C" w:rsidR="009566CD">
        <w:rPr>
          <w:rFonts w:ascii="Calibri" w:hAnsi="Calibri" w:cs="Calibri"/>
        </w:rPr>
        <w:t xml:space="preserve">Jim Freehling &amp; Jean Stringham stated they both would like to further discuss this </w:t>
      </w:r>
      <w:r w:rsidRPr="7A3B247C" w:rsidR="5DE1FEC9">
        <w:rPr>
          <w:rFonts w:ascii="Calibri" w:hAnsi="Calibri" w:cs="Calibri"/>
        </w:rPr>
        <w:t>point after</w:t>
      </w:r>
      <w:r w:rsidRPr="7A3B247C" w:rsidR="009566CD">
        <w:rPr>
          <w:rFonts w:ascii="Calibri" w:hAnsi="Calibri" w:cs="Calibri"/>
        </w:rPr>
        <w:t xml:space="preserve"> recommendations are submitted. </w:t>
      </w:r>
    </w:p>
    <w:p w:rsidR="002F1688" w:rsidRDefault="009566CD" w14:paraId="11DE77D9" w14:textId="77777777">
      <w:pPr>
        <w:rPr>
          <w:rFonts w:ascii="Calibri" w:hAnsi="Calibri" w:cs="Calibri"/>
        </w:rPr>
      </w:pPr>
      <w:r>
        <w:rPr>
          <w:rFonts w:ascii="Calibri" w:hAnsi="Calibri" w:cs="Calibri"/>
        </w:rPr>
        <w:lastRenderedPageBreak/>
        <w:t xml:space="preserve">John Ford stated that he believes there should be further discussion before recommendations and that the current recommendations just leave things as status quo. </w:t>
      </w:r>
    </w:p>
    <w:p w:rsidR="002F1688" w:rsidRDefault="009566CD" w14:paraId="11DE77DA" w14:textId="77777777">
      <w:pPr>
        <w:rPr>
          <w:rFonts w:ascii="Calibri" w:hAnsi="Calibri" w:cs="Calibri"/>
        </w:rPr>
      </w:pPr>
      <w:r>
        <w:rPr>
          <w:rFonts w:ascii="Calibri" w:hAnsi="Calibri" w:cs="Calibri"/>
        </w:rPr>
        <w:t xml:space="preserve">Jean Stringham inquired about what the intended meaning of “further discussion” is and when it is supposed to take place. </w:t>
      </w:r>
    </w:p>
    <w:p w:rsidR="002F1688" w:rsidRDefault="009566CD" w14:paraId="11DE77DB" w14:textId="77777777">
      <w:pPr>
        <w:rPr>
          <w:rFonts w:ascii="Calibri" w:hAnsi="Calibri" w:cs="Calibri"/>
        </w:rPr>
      </w:pPr>
      <w:r>
        <w:rPr>
          <w:rFonts w:ascii="Calibri" w:hAnsi="Calibri" w:cs="Calibri"/>
        </w:rPr>
        <w:t xml:space="preserve">Julianna Fernandez clarified that “further discussion” is intended to take place after the commission report. </w:t>
      </w:r>
    </w:p>
    <w:p w:rsidR="002F1688" w:rsidRDefault="009566CD" w14:paraId="11DE77DC" w14:textId="77777777">
      <w:pPr>
        <w:rPr>
          <w:rFonts w:ascii="Calibri" w:hAnsi="Calibri" w:cs="Calibri"/>
        </w:rPr>
      </w:pPr>
      <w:r>
        <w:rPr>
          <w:rFonts w:ascii="Calibri" w:hAnsi="Calibri" w:cs="Calibri"/>
        </w:rPr>
        <w:t>John Ford stated that no important issues will have any substantial recommendations from this commission.</w:t>
      </w:r>
    </w:p>
    <w:p w:rsidR="002F1688" w:rsidRDefault="009566CD" w14:paraId="11DE77DD" w14:textId="77777777">
      <w:pPr>
        <w:rPr>
          <w:rFonts w:ascii="Calibri" w:hAnsi="Calibri" w:cs="Calibri"/>
          <w:b/>
          <w:bCs/>
        </w:rPr>
      </w:pPr>
      <w:r>
        <w:rPr>
          <w:rFonts w:ascii="Calibri" w:hAnsi="Calibri" w:cs="Calibri"/>
          <w:b/>
          <w:bCs/>
        </w:rPr>
        <w:t xml:space="preserve">Changes to how CCRCs refund their entrance fees: </w:t>
      </w:r>
    </w:p>
    <w:p w:rsidR="002F1688" w:rsidRDefault="009566CD" w14:paraId="11DE77DE" w14:textId="77777777">
      <w:pPr>
        <w:rPr>
          <w:rFonts w:ascii="Calibri" w:hAnsi="Calibri" w:cs="Calibri"/>
        </w:rPr>
      </w:pPr>
      <w:r>
        <w:rPr>
          <w:rFonts w:ascii="Calibri" w:hAnsi="Calibri" w:cs="Calibri"/>
        </w:rPr>
        <w:t xml:space="preserve">John Ford suggested that people receive their refunds within 3 months after leaving and if a person dies, their estate receives the refund within 12 months (both barring extenuating circumstances). He emphasized that he would like to enact some type of concrete requirement around entrance fee refunds. </w:t>
      </w:r>
    </w:p>
    <w:p w:rsidR="002F1688" w:rsidRDefault="009566CD" w14:paraId="11DE77DF" w14:textId="77777777">
      <w:pPr>
        <w:rPr>
          <w:rFonts w:ascii="Calibri" w:hAnsi="Calibri" w:cs="Calibri"/>
        </w:rPr>
      </w:pPr>
      <w:r>
        <w:rPr>
          <w:rFonts w:ascii="Calibri" w:hAnsi="Calibri" w:cs="Calibri"/>
        </w:rPr>
        <w:t xml:space="preserve">Jim Freehling emphasized that refunds need to be issued after re-occupancy in all cases and a blanket timeline would be harmful to CCRC’s financial viability. </w:t>
      </w:r>
    </w:p>
    <w:p w:rsidR="002F1688" w:rsidRDefault="009566CD" w14:paraId="11DE77E0" w14:textId="77777777">
      <w:pPr>
        <w:rPr>
          <w:rFonts w:ascii="Calibri" w:hAnsi="Calibri" w:cs="Calibri"/>
        </w:rPr>
      </w:pPr>
      <w:r>
        <w:rPr>
          <w:rFonts w:ascii="Calibri" w:hAnsi="Calibri" w:cs="Calibri"/>
        </w:rPr>
        <w:t xml:space="preserve">Dave VanArsdale inquired about how an entrance fee refund is not considered a restricted asset. There was no clear answer </w:t>
      </w:r>
      <w:proofErr w:type="gramStart"/>
      <w:r>
        <w:rPr>
          <w:rFonts w:ascii="Calibri" w:hAnsi="Calibri" w:cs="Calibri"/>
        </w:rPr>
        <w:t>on</w:t>
      </w:r>
      <w:proofErr w:type="gramEnd"/>
      <w:r>
        <w:rPr>
          <w:rFonts w:ascii="Calibri" w:hAnsi="Calibri" w:cs="Calibri"/>
        </w:rPr>
        <w:t xml:space="preserve"> this. </w:t>
      </w:r>
    </w:p>
    <w:p w:rsidR="002F1688" w:rsidRDefault="009566CD" w14:paraId="11DE77E1" w14:textId="77777777">
      <w:pPr>
        <w:rPr>
          <w:rFonts w:ascii="Calibri" w:hAnsi="Calibri" w:cs="Calibri"/>
        </w:rPr>
      </w:pPr>
      <w:r>
        <w:rPr>
          <w:rFonts w:ascii="Calibri" w:hAnsi="Calibri" w:cs="Calibri"/>
        </w:rPr>
        <w:t xml:space="preserve">Christine Griffin noted that CCRCs are generally refunding entrance fees within 6 months right now and asked why there would be an issue implementing a concrete timeline when they already do it within a certain amount of time. She also stated that the requirement could include language “barring extenuating circumstances”.  </w:t>
      </w:r>
    </w:p>
    <w:p w:rsidR="002F1688" w:rsidRDefault="009566CD" w14:paraId="11DE77E2" w14:textId="77777777">
      <w:pPr>
        <w:rPr>
          <w:rFonts w:ascii="Calibri" w:hAnsi="Calibri" w:cs="Calibri"/>
        </w:rPr>
      </w:pPr>
      <w:r>
        <w:rPr>
          <w:rFonts w:ascii="Calibri" w:hAnsi="Calibri" w:cs="Calibri"/>
        </w:rPr>
        <w:t>Matthew Hollingshead noted that there is no sufficient definition of “extenuating circumstances”.</w:t>
      </w:r>
    </w:p>
    <w:p w:rsidR="002F1688" w:rsidRDefault="009566CD" w14:paraId="11DE77E3" w14:textId="77777777">
      <w:pPr>
        <w:rPr>
          <w:rFonts w:ascii="Calibri" w:hAnsi="Calibri" w:cs="Calibri"/>
        </w:rPr>
      </w:pPr>
      <w:r>
        <w:rPr>
          <w:rFonts w:ascii="Calibri" w:hAnsi="Calibri" w:cs="Calibri"/>
        </w:rPr>
        <w:t xml:space="preserve">Sec. Lipson added that underwriters and actuaries would “have a field day” with defining an extenuating circumstance and this could negatively impact the organization’s financial health. </w:t>
      </w:r>
      <w:proofErr w:type="gramStart"/>
      <w:r>
        <w:rPr>
          <w:rFonts w:ascii="Calibri" w:hAnsi="Calibri" w:cs="Calibri"/>
        </w:rPr>
        <w:t>A required</w:t>
      </w:r>
      <w:proofErr w:type="gramEnd"/>
      <w:r>
        <w:rPr>
          <w:rFonts w:ascii="Calibri" w:hAnsi="Calibri" w:cs="Calibri"/>
        </w:rPr>
        <w:t xml:space="preserve"> timeline of entrance fee refunds could cause great financial strain on an organization and then trickle down to consumers via </w:t>
      </w:r>
      <w:proofErr w:type="gramStart"/>
      <w:r>
        <w:rPr>
          <w:rFonts w:ascii="Calibri" w:hAnsi="Calibri" w:cs="Calibri"/>
        </w:rPr>
        <w:t>a higher</w:t>
      </w:r>
      <w:proofErr w:type="gramEnd"/>
      <w:r>
        <w:rPr>
          <w:rFonts w:ascii="Calibri" w:hAnsi="Calibri" w:cs="Calibri"/>
        </w:rPr>
        <w:t xml:space="preserve"> entrance or monthly fees. </w:t>
      </w:r>
    </w:p>
    <w:p w:rsidR="002F1688" w:rsidRDefault="009566CD" w14:paraId="11DE77E4" w14:textId="77777777">
      <w:pPr>
        <w:rPr>
          <w:rFonts w:ascii="Calibri" w:hAnsi="Calibri" w:cs="Calibri"/>
        </w:rPr>
      </w:pPr>
      <w:r>
        <w:rPr>
          <w:rFonts w:ascii="Calibri" w:hAnsi="Calibri" w:cs="Calibri"/>
        </w:rPr>
        <w:t xml:space="preserve">John Ford stated this is true for all businesses so why are CCRCs being treated differently? </w:t>
      </w:r>
    </w:p>
    <w:p w:rsidR="002F1688" w:rsidRDefault="009566CD" w14:paraId="11DE77E5" w14:textId="77777777">
      <w:pPr>
        <w:rPr>
          <w:rFonts w:ascii="Calibri" w:hAnsi="Calibri" w:cs="Calibri"/>
        </w:rPr>
      </w:pPr>
      <w:r>
        <w:rPr>
          <w:rFonts w:ascii="Calibri" w:hAnsi="Calibri" w:cs="Calibri"/>
        </w:rPr>
        <w:t xml:space="preserve">Matthew Hollingshead noted that it is in the CCRC’s best interest to return entrance fee funds as quickly as possible. He stated that reputation is everything in this business and that timeliness of returned entrance fees is generally not an issue.  </w:t>
      </w:r>
    </w:p>
    <w:p w:rsidR="002F1688" w:rsidRDefault="009566CD" w14:paraId="11DE77E6" w14:textId="77777777">
      <w:pPr>
        <w:rPr>
          <w:rFonts w:ascii="Calibri" w:hAnsi="Calibri" w:cs="Calibri"/>
        </w:rPr>
      </w:pPr>
      <w:r>
        <w:rPr>
          <w:rFonts w:ascii="Calibri" w:hAnsi="Calibri" w:cs="Calibri"/>
        </w:rPr>
        <w:lastRenderedPageBreak/>
        <w:t xml:space="preserve">Christine Griffin noted that it is an issue when people need their money back right away when they want to move to a different community. </w:t>
      </w:r>
    </w:p>
    <w:p w:rsidR="002F1688" w:rsidRDefault="009566CD" w14:paraId="11DE77E7" w14:textId="77777777">
      <w:pPr>
        <w:rPr>
          <w:rFonts w:ascii="Calibri" w:hAnsi="Calibri" w:cs="Calibri"/>
        </w:rPr>
      </w:pPr>
      <w:r>
        <w:rPr>
          <w:rFonts w:ascii="Calibri" w:hAnsi="Calibri" w:cs="Calibri"/>
        </w:rPr>
        <w:t xml:space="preserve">Matthew Hollingshead noted that for existing CCRCs, their financing is set and that a set timeline of returned entrance fees would result in deep financial strain for organizations. </w:t>
      </w:r>
    </w:p>
    <w:p w:rsidR="002F1688" w:rsidRDefault="009566CD" w14:paraId="11DE77E8" w14:textId="77777777">
      <w:pPr>
        <w:rPr>
          <w:rFonts w:ascii="Calibri" w:hAnsi="Calibri" w:cs="Calibri"/>
          <w:b/>
          <w:bCs/>
        </w:rPr>
      </w:pPr>
      <w:r>
        <w:rPr>
          <w:rFonts w:ascii="Calibri" w:hAnsi="Calibri" w:cs="Calibri"/>
          <w:b/>
          <w:bCs/>
        </w:rPr>
        <w:t xml:space="preserve">Changes to how CCRCs are defined in statute </w:t>
      </w:r>
    </w:p>
    <w:p w:rsidR="002F1688" w:rsidRDefault="009566CD" w14:paraId="11DE77E9" w14:textId="77777777">
      <w:pPr>
        <w:rPr>
          <w:rFonts w:ascii="Calibri" w:hAnsi="Calibri" w:cs="Calibri"/>
        </w:rPr>
      </w:pPr>
      <w:r>
        <w:rPr>
          <w:rFonts w:ascii="Calibri" w:hAnsi="Calibri" w:cs="Calibri"/>
        </w:rPr>
        <w:t>Jean Stringham stated her concern with language “that all CCRCs offer the entire continuum of care”. She noted that language should clarify that the entire continuum of care can be provided via contract with partners and on different campuses</w:t>
      </w:r>
    </w:p>
    <w:p w:rsidR="002F1688" w:rsidRDefault="009566CD" w14:paraId="11DE77EA" w14:textId="46CCDE76">
      <w:pPr>
        <w:rPr>
          <w:rFonts w:ascii="Calibri" w:hAnsi="Calibri" w:cs="Calibri"/>
        </w:rPr>
      </w:pPr>
      <w:r w:rsidRPr="3F32491B" w:rsidR="009566CD">
        <w:rPr>
          <w:rFonts w:ascii="Calibri" w:hAnsi="Calibri" w:cs="Calibri"/>
        </w:rPr>
        <w:t xml:space="preserve">Sec. Lipson added that language should also </w:t>
      </w:r>
      <w:r w:rsidRPr="3F32491B" w:rsidR="009566CD">
        <w:rPr>
          <w:rFonts w:ascii="Calibri" w:hAnsi="Calibri" w:cs="Calibri"/>
        </w:rPr>
        <w:t xml:space="preserve">specify that assisted living and skilled nursing services can be provided in a person’s unit, as well. </w:t>
      </w:r>
      <w:r w:rsidRPr="3F32491B" w:rsidR="697821C3">
        <w:rPr>
          <w:rFonts w:ascii="Calibri" w:hAnsi="Calibri" w:cs="Calibri"/>
        </w:rPr>
        <w:t xml:space="preserve">There are new models of care that allow people to receive ALR/SNF level of care in the home. </w:t>
      </w:r>
      <w:r w:rsidRPr="3F32491B" w:rsidR="009566CD">
        <w:rPr>
          <w:rFonts w:ascii="Calibri" w:hAnsi="Calibri" w:cs="Calibri"/>
        </w:rPr>
        <w:t xml:space="preserve">She stressed that services should not be </w:t>
      </w:r>
      <w:r w:rsidRPr="3F32491B" w:rsidR="009566CD">
        <w:rPr>
          <w:rFonts w:ascii="Calibri" w:hAnsi="Calibri" w:cs="Calibri"/>
        </w:rPr>
        <w:t>building</w:t>
      </w:r>
      <w:r w:rsidRPr="3F32491B" w:rsidR="009566CD">
        <w:rPr>
          <w:rFonts w:ascii="Calibri" w:hAnsi="Calibri" w:cs="Calibri"/>
        </w:rPr>
        <w:t xml:space="preserve"> dependent. </w:t>
      </w:r>
    </w:p>
    <w:p w:rsidR="002F1688" w:rsidRDefault="009566CD" w14:paraId="11DE77EB" w14:textId="77777777">
      <w:pPr>
        <w:rPr>
          <w:rFonts w:ascii="Calibri" w:hAnsi="Calibri" w:cs="Calibri"/>
        </w:rPr>
      </w:pPr>
      <w:r>
        <w:rPr>
          <w:rFonts w:ascii="Calibri" w:hAnsi="Calibri" w:cs="Calibri"/>
        </w:rPr>
        <w:t xml:space="preserve">John Ford noted that the only difference between CCRCs and </w:t>
      </w:r>
      <w:proofErr w:type="gramStart"/>
      <w:r>
        <w:rPr>
          <w:rFonts w:ascii="Calibri" w:hAnsi="Calibri" w:cs="Calibri"/>
        </w:rPr>
        <w:t>assisted living/skilled</w:t>
      </w:r>
      <w:proofErr w:type="gramEnd"/>
      <w:r>
        <w:rPr>
          <w:rFonts w:ascii="Calibri" w:hAnsi="Calibri" w:cs="Calibri"/>
        </w:rPr>
        <w:t xml:space="preserve"> nursing facilities is that they are allowed to charge very large entrance fees. </w:t>
      </w:r>
    </w:p>
    <w:p w:rsidR="002F1688" w:rsidRDefault="009566CD" w14:paraId="11DE77EC" w14:textId="77777777">
      <w:pPr>
        <w:rPr>
          <w:rFonts w:ascii="Calibri" w:hAnsi="Calibri" w:cs="Calibri"/>
        </w:rPr>
      </w:pPr>
      <w:r>
        <w:rPr>
          <w:rFonts w:ascii="Calibri" w:hAnsi="Calibri" w:cs="Calibri"/>
        </w:rPr>
        <w:t xml:space="preserve">Julianna Fernandez acknowledged Mr. Ford’s point and stated that AGE does not currently have the capacity to do CCRC certification. </w:t>
      </w:r>
    </w:p>
    <w:p w:rsidR="002F1688" w:rsidRDefault="009566CD" w14:paraId="11DE77ED" w14:textId="77777777">
      <w:pPr>
        <w:rPr>
          <w:rFonts w:ascii="Calibri" w:hAnsi="Calibri" w:cs="Calibri"/>
        </w:rPr>
      </w:pPr>
      <w:r>
        <w:rPr>
          <w:rFonts w:ascii="Calibri" w:hAnsi="Calibri" w:cs="Calibri"/>
        </w:rPr>
        <w:t xml:space="preserve">Jean Stringham suggested that the Commission recommend that AGE receive increased funding for more staff </w:t>
      </w:r>
      <w:proofErr w:type="gramStart"/>
      <w:r>
        <w:rPr>
          <w:rFonts w:ascii="Calibri" w:hAnsi="Calibri" w:cs="Calibri"/>
        </w:rPr>
        <w:t>in order to</w:t>
      </w:r>
      <w:proofErr w:type="gramEnd"/>
      <w:r>
        <w:rPr>
          <w:rFonts w:ascii="Calibri" w:hAnsi="Calibri" w:cs="Calibri"/>
        </w:rPr>
        <w:t xml:space="preserve"> do certifications, as this will increase their capacity. </w:t>
      </w:r>
    </w:p>
    <w:p w:rsidR="002F1688" w:rsidRDefault="009566CD" w14:paraId="11DE77EE" w14:textId="77777777">
      <w:pPr>
        <w:rPr>
          <w:rFonts w:ascii="Calibri" w:hAnsi="Calibri" w:cs="Calibri"/>
        </w:rPr>
      </w:pPr>
      <w:r>
        <w:rPr>
          <w:rFonts w:ascii="Calibri" w:hAnsi="Calibri" w:cs="Calibri"/>
        </w:rPr>
        <w:t xml:space="preserve">Rep. Stanley disagreed with this suggestion and stated that it veers </w:t>
      </w:r>
      <w:proofErr w:type="gramStart"/>
      <w:r>
        <w:rPr>
          <w:rFonts w:ascii="Calibri" w:hAnsi="Calibri" w:cs="Calibri"/>
        </w:rPr>
        <w:t>to</w:t>
      </w:r>
      <w:proofErr w:type="gramEnd"/>
      <w:r>
        <w:rPr>
          <w:rFonts w:ascii="Calibri" w:hAnsi="Calibri" w:cs="Calibri"/>
        </w:rPr>
        <w:t xml:space="preserve"> far from the Commission’s original charge.</w:t>
      </w:r>
    </w:p>
    <w:p w:rsidR="002F1688" w:rsidRDefault="009566CD" w14:paraId="11DE77EF" w14:textId="77777777">
      <w:pPr>
        <w:rPr>
          <w:rFonts w:ascii="Calibri" w:hAnsi="Calibri" w:cs="Calibri"/>
        </w:rPr>
      </w:pPr>
      <w:r>
        <w:rPr>
          <w:rFonts w:ascii="Calibri" w:hAnsi="Calibri" w:cs="Calibri"/>
        </w:rPr>
        <w:t xml:space="preserve">Sen. </w:t>
      </w:r>
      <w:proofErr w:type="spellStart"/>
      <w:r>
        <w:rPr>
          <w:rFonts w:ascii="Calibri" w:hAnsi="Calibri" w:cs="Calibri"/>
        </w:rPr>
        <w:t>Jehlen</w:t>
      </w:r>
      <w:proofErr w:type="spellEnd"/>
      <w:r>
        <w:rPr>
          <w:rFonts w:ascii="Calibri" w:hAnsi="Calibri" w:cs="Calibri"/>
        </w:rPr>
        <w:t xml:space="preserve"> disagreed with Rep. Stanley’s statement and stated that the Commission is allowed to make recommendations that may not come to fruition right away. </w:t>
      </w:r>
    </w:p>
    <w:p w:rsidR="002F1688" w:rsidRDefault="009566CD" w14:paraId="11DE77F0" w14:textId="77777777">
      <w:pPr>
        <w:rPr>
          <w:rFonts w:ascii="Calibri" w:hAnsi="Calibri" w:cs="Calibri"/>
        </w:rPr>
      </w:pPr>
      <w:r>
        <w:rPr>
          <w:rFonts w:ascii="Calibri" w:hAnsi="Calibri" w:cs="Calibri"/>
        </w:rPr>
        <w:t>Sec. Lipson clarified the difference between verification and certification, and how AGE has potential capacity to verify but not certify. AGE can do validate that CCRCs follow certain procedural guidelines, such as filing the correct paperwork but is hesitant to do certification. Certification requires monitoring an organization’s financial status when that is not in AGE’s wheelhouse. She also stated that given the current lack of capacity, certification could be inaccurate and lead to a false sense of con</w:t>
      </w:r>
      <w:r>
        <w:rPr>
          <w:rFonts w:ascii="Calibri" w:hAnsi="Calibri" w:cs="Calibri"/>
        </w:rPr>
        <w:t xml:space="preserve">fidence from consumers in potentially certified CCRCs. She acknowledges that CHIA does have the expertise to do this but also has competing priorities. The Secretary reiterated that improving upon the current consumer guide and creating a robust website would be a positive step in the right direction. </w:t>
      </w:r>
    </w:p>
    <w:p w:rsidR="002F1688" w:rsidRDefault="009566CD" w14:paraId="11DE77F1" w14:textId="77777777">
      <w:pPr>
        <w:rPr>
          <w:rFonts w:ascii="Calibri" w:hAnsi="Calibri" w:cs="Calibri"/>
        </w:rPr>
      </w:pPr>
      <w:r>
        <w:rPr>
          <w:rFonts w:ascii="Calibri" w:hAnsi="Calibri" w:cs="Calibri"/>
        </w:rPr>
        <w:t xml:space="preserve">John Ford </w:t>
      </w:r>
      <w:proofErr w:type="gramStart"/>
      <w:r>
        <w:rPr>
          <w:rFonts w:ascii="Calibri" w:hAnsi="Calibri" w:cs="Calibri"/>
        </w:rPr>
        <w:t>reiterated</w:t>
      </w:r>
      <w:proofErr w:type="gramEnd"/>
      <w:r>
        <w:rPr>
          <w:rFonts w:ascii="Calibri" w:hAnsi="Calibri" w:cs="Calibri"/>
        </w:rPr>
        <w:t xml:space="preserve"> that he would like further discussion to happen before recommendations are finalized. He inquired about what a “failed commission” looks like. </w:t>
      </w:r>
    </w:p>
    <w:p w:rsidR="002F1688" w:rsidRDefault="009566CD" w14:paraId="11DE77F2" w14:textId="77777777">
      <w:pPr>
        <w:rPr>
          <w:rFonts w:ascii="Calibri" w:hAnsi="Calibri" w:cs="Calibri"/>
        </w:rPr>
      </w:pPr>
      <w:r>
        <w:rPr>
          <w:rFonts w:ascii="Calibri" w:hAnsi="Calibri" w:cs="Calibri"/>
        </w:rPr>
        <w:lastRenderedPageBreak/>
        <w:t xml:space="preserve">Sen. </w:t>
      </w:r>
      <w:proofErr w:type="spellStart"/>
      <w:r>
        <w:rPr>
          <w:rFonts w:ascii="Calibri" w:hAnsi="Calibri" w:cs="Calibri"/>
        </w:rPr>
        <w:t>Jehlen</w:t>
      </w:r>
      <w:proofErr w:type="spellEnd"/>
      <w:r>
        <w:rPr>
          <w:rFonts w:ascii="Calibri" w:hAnsi="Calibri" w:cs="Calibri"/>
        </w:rPr>
        <w:t xml:space="preserve"> stated that she does not consider this a failed commission, as people have learned a great deal about CCRCs and have compiled documents/ information to share with other legislators. She stated that many of the recommendations that did not receive consensus can be further discussed and possibly included in the disclosure bill.  </w:t>
      </w:r>
    </w:p>
    <w:p w:rsidR="002F1688" w:rsidRDefault="009566CD" w14:paraId="11DE77F3" w14:textId="77777777">
      <w:pPr>
        <w:rPr>
          <w:rFonts w:ascii="Calibri" w:hAnsi="Calibri" w:cs="Calibri"/>
        </w:rPr>
      </w:pPr>
      <w:r>
        <w:rPr>
          <w:rFonts w:ascii="Calibri" w:hAnsi="Calibri" w:cs="Calibri"/>
        </w:rPr>
        <w:t xml:space="preserve">Christine Griffin inquired if there is an opportunity to enhance the disclosure bill further. </w:t>
      </w:r>
    </w:p>
    <w:p w:rsidR="002F1688" w:rsidRDefault="009566CD" w14:paraId="11DE77F4" w14:textId="77777777">
      <w:pPr>
        <w:rPr>
          <w:rFonts w:ascii="Calibri" w:hAnsi="Calibri" w:cs="Calibri"/>
        </w:rPr>
      </w:pPr>
      <w:r>
        <w:rPr>
          <w:rFonts w:ascii="Calibri" w:hAnsi="Calibri" w:cs="Calibri"/>
        </w:rPr>
        <w:t xml:space="preserve">Sen. </w:t>
      </w:r>
      <w:proofErr w:type="spellStart"/>
      <w:r>
        <w:rPr>
          <w:rFonts w:ascii="Calibri" w:hAnsi="Calibri" w:cs="Calibri"/>
        </w:rPr>
        <w:t>Jehlen</w:t>
      </w:r>
      <w:proofErr w:type="spellEnd"/>
      <w:r>
        <w:rPr>
          <w:rFonts w:ascii="Calibri" w:hAnsi="Calibri" w:cs="Calibri"/>
        </w:rPr>
        <w:t xml:space="preserve"> stated that she </w:t>
      </w:r>
      <w:proofErr w:type="gramStart"/>
      <w:r>
        <w:rPr>
          <w:rFonts w:ascii="Calibri" w:hAnsi="Calibri" w:cs="Calibri"/>
        </w:rPr>
        <w:t>will</w:t>
      </w:r>
      <w:proofErr w:type="gramEnd"/>
      <w:r>
        <w:rPr>
          <w:rFonts w:ascii="Calibri" w:hAnsi="Calibri" w:cs="Calibri"/>
        </w:rPr>
        <w:t xml:space="preserve"> discuss it and encouraged people to share their points of view with other legislators. </w:t>
      </w:r>
    </w:p>
    <w:p w:rsidR="002F1688" w:rsidRDefault="009566CD" w14:paraId="11DE77F5" w14:textId="77777777">
      <w:pPr>
        <w:rPr>
          <w:rFonts w:ascii="Calibri" w:hAnsi="Calibri" w:cs="Calibri"/>
        </w:rPr>
      </w:pPr>
      <w:r>
        <w:rPr>
          <w:rFonts w:ascii="Calibri" w:hAnsi="Calibri" w:cs="Calibri"/>
        </w:rPr>
        <w:t xml:space="preserve">John Ford stated that he believes conversations about the disclosure bill will be where meaningful discussion takes place, as this commission is just recommending the status quo. </w:t>
      </w:r>
    </w:p>
    <w:p w:rsidR="002F1688" w:rsidRDefault="009566CD" w14:paraId="11DE77F6" w14:textId="77777777">
      <w:pPr>
        <w:rPr>
          <w:rFonts w:ascii="Calibri" w:hAnsi="Calibri" w:cs="Calibri"/>
        </w:rPr>
      </w:pPr>
      <w:r>
        <w:rPr>
          <w:rFonts w:ascii="Calibri" w:hAnsi="Calibri" w:cs="Calibri"/>
        </w:rPr>
        <w:t xml:space="preserve">Christine Griffin inquired about </w:t>
      </w:r>
      <w:proofErr w:type="gramStart"/>
      <w:r>
        <w:rPr>
          <w:rFonts w:ascii="Calibri" w:hAnsi="Calibri" w:cs="Calibri"/>
        </w:rPr>
        <w:t>included letters of dissent</w:t>
      </w:r>
      <w:proofErr w:type="gramEnd"/>
      <w:r>
        <w:rPr>
          <w:rFonts w:ascii="Calibri" w:hAnsi="Calibri" w:cs="Calibri"/>
        </w:rPr>
        <w:t xml:space="preserve"> in the final report. </w:t>
      </w:r>
    </w:p>
    <w:p w:rsidR="002F1688" w:rsidRDefault="009566CD" w14:paraId="11DE77F7" w14:textId="77777777">
      <w:pPr>
        <w:rPr>
          <w:rFonts w:ascii="Calibri" w:hAnsi="Calibri" w:cs="Calibri"/>
        </w:rPr>
      </w:pPr>
      <w:r>
        <w:rPr>
          <w:rFonts w:ascii="Calibri" w:hAnsi="Calibri" w:cs="Calibri"/>
        </w:rPr>
        <w:t xml:space="preserve">Julianna Fernandez stated that any member who would like to have their written comments or </w:t>
      </w:r>
      <w:r>
        <w:rPr>
          <w:rFonts w:ascii="Calibri" w:hAnsi="Calibri" w:cs="Calibri"/>
        </w:rPr>
        <w:t xml:space="preserve">letters of dissent included in the report can send </w:t>
      </w:r>
      <w:proofErr w:type="gramStart"/>
      <w:r>
        <w:rPr>
          <w:rFonts w:ascii="Calibri" w:hAnsi="Calibri" w:cs="Calibri"/>
        </w:rPr>
        <w:t>it</w:t>
      </w:r>
      <w:proofErr w:type="gramEnd"/>
      <w:r>
        <w:rPr>
          <w:rFonts w:ascii="Calibri" w:hAnsi="Calibri" w:cs="Calibri"/>
        </w:rPr>
        <w:t xml:space="preserve"> to her by Friday, and </w:t>
      </w:r>
      <w:proofErr w:type="gramStart"/>
      <w:r>
        <w:rPr>
          <w:rFonts w:ascii="Calibri" w:hAnsi="Calibri" w:cs="Calibri"/>
        </w:rPr>
        <w:t>it</w:t>
      </w:r>
      <w:proofErr w:type="gramEnd"/>
      <w:r>
        <w:rPr>
          <w:rFonts w:ascii="Calibri" w:hAnsi="Calibri" w:cs="Calibri"/>
        </w:rPr>
        <w:t xml:space="preserve"> will be included in the final report.</w:t>
      </w:r>
    </w:p>
    <w:p w:rsidR="002F1688" w:rsidRDefault="009566CD" w14:paraId="11DE77F8" w14:textId="77777777">
      <w:pPr>
        <w:rPr>
          <w:rFonts w:ascii="Calibri" w:hAnsi="Calibri" w:cs="Calibri"/>
        </w:rPr>
      </w:pPr>
      <w:r>
        <w:rPr>
          <w:rFonts w:ascii="Calibri" w:hAnsi="Calibri" w:cs="Calibri"/>
        </w:rPr>
        <w:t xml:space="preserve">John Ford inquired about extending the Commission’s deadline, as the ALR Commission did this. </w:t>
      </w:r>
    </w:p>
    <w:p w:rsidR="002F1688" w:rsidRDefault="009566CD" w14:paraId="11DE77F9" w14:textId="77777777">
      <w:pPr>
        <w:rPr>
          <w:rFonts w:ascii="Calibri" w:hAnsi="Calibri" w:cs="Calibri"/>
        </w:rPr>
      </w:pPr>
      <w:r>
        <w:rPr>
          <w:rFonts w:ascii="Calibri" w:hAnsi="Calibri" w:cs="Calibri"/>
        </w:rPr>
        <w:t xml:space="preserve">Rep. Stanley stated that the ALR Commission’s deadline has not yet been extended, and that it is very difficult to change </w:t>
      </w:r>
      <w:proofErr w:type="gramStart"/>
      <w:r>
        <w:rPr>
          <w:rFonts w:ascii="Calibri" w:hAnsi="Calibri" w:cs="Calibri"/>
        </w:rPr>
        <w:t>statute</w:t>
      </w:r>
      <w:proofErr w:type="gramEnd"/>
      <w:r>
        <w:rPr>
          <w:rFonts w:ascii="Calibri" w:hAnsi="Calibri" w:cs="Calibri"/>
        </w:rPr>
        <w:t xml:space="preserve">. He further explained that the only reason the ALR Commission extended is due to the Gabriel House tragedy. </w:t>
      </w:r>
    </w:p>
    <w:p w:rsidR="002F1688" w:rsidRDefault="009566CD" w14:paraId="11DE77FA" w14:textId="076C00F4">
      <w:pPr>
        <w:rPr>
          <w:rFonts w:ascii="Calibri" w:hAnsi="Calibri" w:cs="Calibri"/>
        </w:rPr>
      </w:pPr>
      <w:r w:rsidRPr="2E41F88F" w:rsidR="009566CD">
        <w:rPr>
          <w:rFonts w:ascii="Calibri" w:hAnsi="Calibri" w:cs="Calibri"/>
        </w:rPr>
        <w:t xml:space="preserve">Sec. Lipson </w:t>
      </w:r>
      <w:r w:rsidRPr="2E41F88F" w:rsidR="009566CD">
        <w:rPr>
          <w:rFonts w:ascii="Calibri" w:hAnsi="Calibri" w:cs="Calibri"/>
        </w:rPr>
        <w:t>stated</w:t>
      </w:r>
      <w:r w:rsidRPr="2E41F88F" w:rsidR="009566CD">
        <w:rPr>
          <w:rFonts w:ascii="Calibri" w:hAnsi="Calibri" w:cs="Calibri"/>
        </w:rPr>
        <w:t xml:space="preserve"> that the Commission’s discussions </w:t>
      </w:r>
      <w:r w:rsidRPr="2E41F88F" w:rsidR="1DCDEC41">
        <w:rPr>
          <w:rFonts w:ascii="Calibri" w:hAnsi="Calibri" w:cs="Calibri"/>
        </w:rPr>
        <w:t>set</w:t>
      </w:r>
      <w:r w:rsidRPr="2E41F88F" w:rsidR="009566CD">
        <w:rPr>
          <w:rFonts w:ascii="Calibri" w:hAnsi="Calibri" w:cs="Calibri"/>
        </w:rPr>
        <w:t xml:space="preserve"> the table for future conversations and allow stakeholders to dive deeper into issues. </w:t>
      </w:r>
    </w:p>
    <w:p w:rsidR="002F1688" w:rsidRDefault="009566CD" w14:paraId="11DE77FB" w14:textId="77777777">
      <w:pPr>
        <w:rPr>
          <w:rFonts w:ascii="Calibri" w:hAnsi="Calibri" w:cs="Calibri"/>
        </w:rPr>
      </w:pPr>
      <w:r>
        <w:rPr>
          <w:rFonts w:ascii="Calibri" w:hAnsi="Calibri" w:cs="Calibri"/>
        </w:rPr>
        <w:t xml:space="preserve">John Ford agreed that he has learned a great deal. He stated that he hopes Sen. Lovely will make changes via the disclosure bill. </w:t>
      </w:r>
    </w:p>
    <w:p w:rsidR="002F1688" w:rsidRDefault="009566CD" w14:paraId="11DE77FC" w14:textId="77777777">
      <w:pPr>
        <w:rPr>
          <w:rFonts w:ascii="Calibri" w:hAnsi="Calibri" w:cs="Calibri"/>
        </w:rPr>
      </w:pPr>
      <w:r>
        <w:rPr>
          <w:rFonts w:ascii="Calibri" w:hAnsi="Calibri" w:cs="Calibri"/>
        </w:rPr>
        <w:t xml:space="preserve">Christine Griffin inquired about what “further discussion” means, as there are no set guidelines for how further discussion takes place. </w:t>
      </w:r>
    </w:p>
    <w:p w:rsidR="002F1688" w:rsidRDefault="009566CD" w14:paraId="11DE77FD" w14:textId="77777777">
      <w:pPr>
        <w:rPr>
          <w:rFonts w:ascii="Calibri" w:hAnsi="Calibri" w:cs="Calibri"/>
        </w:rPr>
      </w:pPr>
      <w:r>
        <w:rPr>
          <w:rFonts w:ascii="Calibri" w:hAnsi="Calibri" w:cs="Calibri"/>
        </w:rPr>
        <w:t xml:space="preserve">Rep. Stanley stated that it takes place after the Commission’s recommendation and should be focused on the disclosure bill. </w:t>
      </w:r>
    </w:p>
    <w:p w:rsidR="002F1688" w:rsidRDefault="009566CD" w14:paraId="11DE77FE" w14:textId="77777777">
      <w:pPr>
        <w:rPr>
          <w:rFonts w:ascii="Calibri" w:hAnsi="Calibri" w:cs="Calibri"/>
        </w:rPr>
      </w:pPr>
      <w:r>
        <w:rPr>
          <w:rFonts w:ascii="Calibri" w:hAnsi="Calibri" w:cs="Calibri"/>
        </w:rPr>
        <w:t xml:space="preserve">John Ford and members thanked Julianna Fernandez for her leadership of the Commission. </w:t>
      </w:r>
    </w:p>
    <w:p w:rsidR="002F1688" w:rsidRDefault="009566CD" w14:paraId="11DE77FF" w14:textId="77777777">
      <w:pPr>
        <w:rPr>
          <w:rFonts w:ascii="Calibri" w:hAnsi="Calibri" w:cs="Calibri"/>
        </w:rPr>
      </w:pPr>
      <w:r>
        <w:rPr>
          <w:rFonts w:ascii="Calibri" w:hAnsi="Calibri" w:cs="Calibri"/>
        </w:rPr>
        <w:t xml:space="preserve">Julianna Fernandez concluded the meeting at approximately 11:40am. </w:t>
      </w:r>
    </w:p>
    <w:p w:rsidR="002F1688" w:rsidRDefault="002F1688" w14:paraId="11DE7800" w14:textId="77777777">
      <w:pPr>
        <w:rPr>
          <w:rFonts w:ascii="Calibri" w:hAnsi="Calibri" w:cs="Calibri"/>
        </w:rPr>
      </w:pPr>
    </w:p>
    <w:sectPr w:rsidR="002F1688">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6CD" w:rsidRDefault="009566CD" w14:paraId="11DE775D" w14:textId="77777777">
      <w:pPr>
        <w:spacing w:after="0" w:line="240" w:lineRule="auto"/>
      </w:pPr>
      <w:r>
        <w:separator/>
      </w:r>
    </w:p>
  </w:endnote>
  <w:endnote w:type="continuationSeparator" w:id="0">
    <w:p w:rsidR="009566CD" w:rsidRDefault="009566CD" w14:paraId="11DE77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6CD" w:rsidRDefault="009566CD" w14:paraId="11DE7759" w14:textId="77777777">
      <w:pPr>
        <w:spacing w:after="0" w:line="240" w:lineRule="auto"/>
      </w:pPr>
      <w:r>
        <w:rPr>
          <w:color w:val="000000"/>
        </w:rPr>
        <w:separator/>
      </w:r>
    </w:p>
  </w:footnote>
  <w:footnote w:type="continuationSeparator" w:id="0">
    <w:p w:rsidR="009566CD" w:rsidRDefault="009566CD" w14:paraId="11DE775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F1688"/>
    <w:rsid w:val="002F1688"/>
    <w:rsid w:val="004F4ABA"/>
    <w:rsid w:val="009224FC"/>
    <w:rsid w:val="009566CD"/>
    <w:rsid w:val="022603AE"/>
    <w:rsid w:val="054F38E5"/>
    <w:rsid w:val="05A3F5DA"/>
    <w:rsid w:val="06064268"/>
    <w:rsid w:val="11C6A227"/>
    <w:rsid w:val="161D6870"/>
    <w:rsid w:val="1DCDEC41"/>
    <w:rsid w:val="2020CB82"/>
    <w:rsid w:val="22FA48C8"/>
    <w:rsid w:val="250AC94A"/>
    <w:rsid w:val="27648FBD"/>
    <w:rsid w:val="27735A32"/>
    <w:rsid w:val="2AF7F80E"/>
    <w:rsid w:val="2E41F88F"/>
    <w:rsid w:val="2FC11048"/>
    <w:rsid w:val="30322E7E"/>
    <w:rsid w:val="366E2DCD"/>
    <w:rsid w:val="3958F83C"/>
    <w:rsid w:val="3D1FDCBC"/>
    <w:rsid w:val="3E62508E"/>
    <w:rsid w:val="3F32491B"/>
    <w:rsid w:val="4B06920B"/>
    <w:rsid w:val="4BF499B6"/>
    <w:rsid w:val="5304D0E8"/>
    <w:rsid w:val="54B99FB5"/>
    <w:rsid w:val="5A623382"/>
    <w:rsid w:val="5BD252A2"/>
    <w:rsid w:val="5CD768A8"/>
    <w:rsid w:val="5CDE908B"/>
    <w:rsid w:val="5DE1FEC9"/>
    <w:rsid w:val="5E1B49A0"/>
    <w:rsid w:val="5E1C78C0"/>
    <w:rsid w:val="5E902C1F"/>
    <w:rsid w:val="602E872A"/>
    <w:rsid w:val="684BBCFC"/>
    <w:rsid w:val="697821C3"/>
    <w:rsid w:val="6F3178DD"/>
    <w:rsid w:val="76D9424D"/>
    <w:rsid w:val="7A3B247C"/>
    <w:rsid w:val="7F10B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7757"/>
  <w15:docId w15:val="{9813BE57-F0C5-480B-A185-2B66C8CC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F3ABA3-51CE-455B-A7CF-2E0CF1650585}"/>
</file>

<file path=customXml/itemProps2.xml><?xml version="1.0" encoding="utf-8"?>
<ds:datastoreItem xmlns:ds="http://schemas.openxmlformats.org/officeDocument/2006/customXml" ds:itemID="{DB9680C7-6AF5-48F7-BFF2-0CEAF473F71B}"/>
</file>

<file path=customXml/itemProps3.xml><?xml version="1.0" encoding="utf-8"?>
<ds:datastoreItem xmlns:ds="http://schemas.openxmlformats.org/officeDocument/2006/customXml" ds:itemID="{605D08C3-1F02-4A33-9D42-3BBE9F0115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Nathan, Bobbie (HOU)</dc:creator>
  <dc:description/>
  <lastModifiedBy>Phillips, Mark (HOU)</lastModifiedBy>
  <revision>6</revision>
  <dcterms:created xsi:type="dcterms:W3CDTF">2025-07-29T15:49:00.0000000Z</dcterms:created>
  <dcterms:modified xsi:type="dcterms:W3CDTF">2025-07-31T14:03:17.1307579Z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